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EDC" w:rsidRDefault="00881EDC" w:rsidP="00881EDC">
      <w:pPr>
        <w:jc w:val="center"/>
        <w:rPr>
          <w:b/>
          <w:bCs/>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8"/>
          <w:szCs w:val="28"/>
        </w:rPr>
        <w:t>IN THE UNITED STATES DISTRICT COURT</w:t>
      </w:r>
    </w:p>
    <w:p w:rsidR="00881EDC" w:rsidRDefault="00881EDC" w:rsidP="00881EDC">
      <w:pPr>
        <w:jc w:val="center"/>
        <w:rPr>
          <w:b/>
          <w:bCs/>
          <w:sz w:val="28"/>
          <w:szCs w:val="28"/>
        </w:rPr>
      </w:pPr>
      <w:r>
        <w:rPr>
          <w:b/>
          <w:bCs/>
          <w:sz w:val="28"/>
          <w:szCs w:val="28"/>
        </w:rPr>
        <w:t>FOR THE NORTHERN DISTRICT OF ALABAMA</w:t>
      </w:r>
    </w:p>
    <w:p w:rsidR="00881EDC" w:rsidRDefault="00881EDC" w:rsidP="00881EDC">
      <w:pPr>
        <w:jc w:val="center"/>
        <w:rPr>
          <w:sz w:val="28"/>
          <w:szCs w:val="28"/>
        </w:rPr>
      </w:pPr>
      <w:r>
        <w:rPr>
          <w:b/>
          <w:bCs/>
          <w:sz w:val="28"/>
          <w:szCs w:val="28"/>
        </w:rPr>
        <w:t>_____________ DIVISION</w:t>
      </w:r>
    </w:p>
    <w:p w:rsidR="00881EDC" w:rsidRDefault="00881EDC" w:rsidP="00881EDC">
      <w:pPr>
        <w:rPr>
          <w:sz w:val="28"/>
          <w:szCs w:val="28"/>
        </w:rPr>
      </w:pPr>
    </w:p>
    <w:p w:rsidR="00881EDC" w:rsidRDefault="00881EDC" w:rsidP="00881EDC">
      <w:pPr>
        <w:rPr>
          <w:b/>
          <w:bCs/>
          <w:sz w:val="28"/>
          <w:szCs w:val="28"/>
        </w:rPr>
      </w:pPr>
    </w:p>
    <w:p w:rsidR="00881EDC" w:rsidRDefault="00881EDC" w:rsidP="00881EDC">
      <w:pPr>
        <w:rPr>
          <w:sz w:val="28"/>
          <w:szCs w:val="28"/>
        </w:rPr>
        <w:sectPr w:rsidR="00881EDC" w:rsidSect="00881EDC">
          <w:pgSz w:w="12240" w:h="15840"/>
          <w:pgMar w:top="1440" w:right="1440" w:bottom="1440" w:left="1440" w:header="1440" w:footer="1440" w:gutter="0"/>
          <w:cols w:space="720"/>
          <w:noEndnote/>
        </w:sectPr>
      </w:pPr>
    </w:p>
    <w:p w:rsidR="00881EDC" w:rsidRDefault="00881EDC" w:rsidP="00881EDC">
      <w:pPr>
        <w:rPr>
          <w:b/>
          <w:bCs/>
          <w:sz w:val="28"/>
          <w:szCs w:val="28"/>
        </w:rPr>
      </w:pPr>
      <w:r>
        <w:rPr>
          <w:b/>
          <w:bCs/>
          <w:sz w:val="28"/>
          <w:szCs w:val="28"/>
        </w:rPr>
        <w:lastRenderedPageBreak/>
        <w:t xml:space="preserve">__________________, </w:t>
      </w:r>
    </w:p>
    <w:p w:rsidR="00881EDC" w:rsidRDefault="00881EDC" w:rsidP="00881EDC">
      <w:pPr>
        <w:rPr>
          <w:b/>
          <w:bCs/>
          <w:sz w:val="28"/>
          <w:szCs w:val="28"/>
        </w:rPr>
      </w:pPr>
    </w:p>
    <w:p w:rsidR="00881EDC" w:rsidRDefault="00881EDC" w:rsidP="00881EDC">
      <w:pPr>
        <w:tabs>
          <w:tab w:val="left" w:pos="720"/>
          <w:tab w:val="left" w:pos="1440"/>
        </w:tabs>
        <w:ind w:left="1440" w:hanging="1440"/>
        <w:rPr>
          <w:b/>
          <w:bCs/>
          <w:sz w:val="28"/>
          <w:szCs w:val="28"/>
        </w:rPr>
      </w:pPr>
      <w:r>
        <w:rPr>
          <w:b/>
          <w:bCs/>
          <w:sz w:val="28"/>
          <w:szCs w:val="28"/>
        </w:rPr>
        <w:tab/>
      </w:r>
      <w:r>
        <w:rPr>
          <w:sz w:val="28"/>
          <w:szCs w:val="28"/>
        </w:rPr>
        <w:tab/>
        <w:t>Plaintiff,</w:t>
      </w:r>
    </w:p>
    <w:p w:rsidR="00881EDC" w:rsidRDefault="00881EDC" w:rsidP="00881EDC">
      <w:pPr>
        <w:rPr>
          <w:b/>
          <w:bCs/>
          <w:sz w:val="28"/>
          <w:szCs w:val="28"/>
        </w:rPr>
      </w:pPr>
    </w:p>
    <w:p w:rsidR="00881EDC" w:rsidRDefault="00881EDC" w:rsidP="00881EDC">
      <w:pPr>
        <w:rPr>
          <w:b/>
          <w:bCs/>
          <w:sz w:val="28"/>
          <w:szCs w:val="28"/>
        </w:rPr>
      </w:pPr>
      <w:r>
        <w:rPr>
          <w:b/>
          <w:bCs/>
          <w:sz w:val="28"/>
          <w:szCs w:val="28"/>
        </w:rPr>
        <w:tab/>
      </w:r>
      <w:proofErr w:type="gramStart"/>
      <w:r>
        <w:rPr>
          <w:b/>
          <w:bCs/>
          <w:sz w:val="28"/>
          <w:szCs w:val="28"/>
        </w:rPr>
        <w:t>vs</w:t>
      </w:r>
      <w:proofErr w:type="gramEnd"/>
      <w:r>
        <w:rPr>
          <w:b/>
          <w:bCs/>
          <w:sz w:val="28"/>
          <w:szCs w:val="28"/>
        </w:rPr>
        <w:t>.</w:t>
      </w:r>
    </w:p>
    <w:p w:rsidR="00881EDC" w:rsidRDefault="00881EDC" w:rsidP="00881EDC">
      <w:pPr>
        <w:rPr>
          <w:b/>
          <w:bCs/>
          <w:sz w:val="28"/>
          <w:szCs w:val="28"/>
        </w:rPr>
      </w:pPr>
    </w:p>
    <w:p w:rsidR="00881EDC" w:rsidRDefault="00881EDC" w:rsidP="00881EDC">
      <w:pPr>
        <w:rPr>
          <w:b/>
          <w:bCs/>
          <w:sz w:val="28"/>
          <w:szCs w:val="28"/>
        </w:rPr>
      </w:pPr>
      <w:r>
        <w:rPr>
          <w:b/>
          <w:bCs/>
          <w:sz w:val="28"/>
          <w:szCs w:val="28"/>
        </w:rPr>
        <w:t>___________________,</w:t>
      </w:r>
    </w:p>
    <w:p w:rsidR="00881EDC" w:rsidRDefault="00881EDC" w:rsidP="00881EDC">
      <w:pPr>
        <w:rPr>
          <w:b/>
          <w:bCs/>
          <w:sz w:val="28"/>
          <w:szCs w:val="28"/>
        </w:rPr>
      </w:pPr>
    </w:p>
    <w:p w:rsidR="00881EDC" w:rsidRDefault="00881EDC" w:rsidP="00881EDC">
      <w:pPr>
        <w:tabs>
          <w:tab w:val="left" w:pos="720"/>
          <w:tab w:val="left" w:pos="1440"/>
        </w:tabs>
        <w:ind w:left="1440" w:hanging="1440"/>
        <w:rPr>
          <w:b/>
          <w:bCs/>
          <w:sz w:val="28"/>
          <w:szCs w:val="28"/>
        </w:rPr>
      </w:pPr>
      <w:r>
        <w:rPr>
          <w:b/>
          <w:bCs/>
          <w:sz w:val="28"/>
          <w:szCs w:val="28"/>
        </w:rPr>
        <w:tab/>
      </w:r>
      <w:r>
        <w:rPr>
          <w:sz w:val="28"/>
          <w:szCs w:val="28"/>
        </w:rPr>
        <w:tab/>
      </w:r>
      <w:proofErr w:type="gramStart"/>
      <w:r>
        <w:rPr>
          <w:sz w:val="28"/>
          <w:szCs w:val="28"/>
        </w:rPr>
        <w:t>Defendant.</w:t>
      </w:r>
      <w:proofErr w:type="gramEnd"/>
    </w:p>
    <w:p w:rsidR="00881EDC" w:rsidRDefault="00881EDC" w:rsidP="00881EDC">
      <w:pPr>
        <w:rPr>
          <w:sz w:val="28"/>
          <w:szCs w:val="28"/>
        </w:rPr>
      </w:pPr>
      <w:r>
        <w:rPr>
          <w:sz w:val="28"/>
          <w:szCs w:val="28"/>
        </w:rPr>
        <w:br w:type="column"/>
      </w:r>
      <w:r>
        <w:rPr>
          <w:sz w:val="28"/>
          <w:szCs w:val="28"/>
        </w:rPr>
        <w:lastRenderedPageBreak/>
        <w:t>)</w:t>
      </w:r>
    </w:p>
    <w:p w:rsidR="00881EDC" w:rsidRDefault="00881EDC" w:rsidP="00881EDC">
      <w:pPr>
        <w:rPr>
          <w:sz w:val="28"/>
          <w:szCs w:val="28"/>
        </w:rPr>
      </w:pPr>
      <w:r>
        <w:rPr>
          <w:sz w:val="28"/>
          <w:szCs w:val="28"/>
        </w:rPr>
        <w:t>)</w:t>
      </w:r>
    </w:p>
    <w:p w:rsidR="00881EDC" w:rsidRDefault="00881EDC" w:rsidP="00881EDC">
      <w:pPr>
        <w:rPr>
          <w:sz w:val="28"/>
          <w:szCs w:val="28"/>
        </w:rPr>
      </w:pPr>
      <w:r>
        <w:rPr>
          <w:sz w:val="28"/>
          <w:szCs w:val="28"/>
        </w:rPr>
        <w:t>)</w:t>
      </w:r>
    </w:p>
    <w:p w:rsidR="00881EDC" w:rsidRDefault="00881EDC" w:rsidP="00881EDC">
      <w:pPr>
        <w:rPr>
          <w:sz w:val="28"/>
          <w:szCs w:val="28"/>
        </w:rPr>
      </w:pPr>
      <w:r>
        <w:rPr>
          <w:sz w:val="28"/>
          <w:szCs w:val="28"/>
        </w:rPr>
        <w:t>)</w:t>
      </w:r>
    </w:p>
    <w:p w:rsidR="00881EDC" w:rsidRDefault="00881EDC" w:rsidP="00881EDC">
      <w:pPr>
        <w:rPr>
          <w:sz w:val="28"/>
          <w:szCs w:val="28"/>
        </w:rPr>
      </w:pPr>
      <w:r>
        <w:rPr>
          <w:sz w:val="28"/>
          <w:szCs w:val="28"/>
        </w:rPr>
        <w:t>)</w:t>
      </w:r>
    </w:p>
    <w:p w:rsidR="00881EDC" w:rsidRDefault="00881EDC" w:rsidP="00881EDC">
      <w:pPr>
        <w:rPr>
          <w:sz w:val="28"/>
          <w:szCs w:val="28"/>
        </w:rPr>
      </w:pPr>
      <w:r>
        <w:rPr>
          <w:sz w:val="28"/>
          <w:szCs w:val="28"/>
        </w:rPr>
        <w:t>)</w:t>
      </w:r>
    </w:p>
    <w:p w:rsidR="00881EDC" w:rsidRDefault="00881EDC" w:rsidP="00881EDC">
      <w:pPr>
        <w:rPr>
          <w:sz w:val="28"/>
          <w:szCs w:val="28"/>
        </w:rPr>
      </w:pPr>
      <w:r>
        <w:rPr>
          <w:sz w:val="28"/>
          <w:szCs w:val="28"/>
        </w:rPr>
        <w:t>)</w:t>
      </w:r>
    </w:p>
    <w:p w:rsidR="00881EDC" w:rsidRDefault="00881EDC" w:rsidP="00881EDC">
      <w:pPr>
        <w:rPr>
          <w:sz w:val="28"/>
          <w:szCs w:val="28"/>
        </w:rPr>
      </w:pPr>
      <w:r>
        <w:rPr>
          <w:sz w:val="28"/>
          <w:szCs w:val="28"/>
        </w:rPr>
        <w:t>)</w:t>
      </w:r>
    </w:p>
    <w:p w:rsidR="00881EDC" w:rsidRDefault="00881EDC" w:rsidP="00881EDC">
      <w:pPr>
        <w:rPr>
          <w:sz w:val="28"/>
          <w:szCs w:val="28"/>
        </w:rPr>
      </w:pPr>
      <w:r>
        <w:rPr>
          <w:sz w:val="28"/>
          <w:szCs w:val="28"/>
        </w:rPr>
        <w:t>)</w:t>
      </w:r>
    </w:p>
    <w:p w:rsidR="00881EDC" w:rsidRDefault="00881EDC" w:rsidP="00881EDC">
      <w:pPr>
        <w:rPr>
          <w:b/>
          <w:bCs/>
          <w:sz w:val="28"/>
          <w:szCs w:val="28"/>
        </w:rPr>
      </w:pPr>
      <w:r>
        <w:rPr>
          <w:sz w:val="28"/>
          <w:szCs w:val="28"/>
        </w:rPr>
        <w:br w:type="column"/>
      </w:r>
    </w:p>
    <w:p w:rsidR="00881EDC" w:rsidRDefault="00881EDC" w:rsidP="00881EDC">
      <w:pPr>
        <w:rPr>
          <w:b/>
          <w:bCs/>
          <w:sz w:val="28"/>
          <w:szCs w:val="28"/>
        </w:rPr>
      </w:pPr>
    </w:p>
    <w:p w:rsidR="00881EDC" w:rsidRDefault="00881EDC" w:rsidP="00881EDC">
      <w:pPr>
        <w:rPr>
          <w:b/>
          <w:bCs/>
          <w:sz w:val="28"/>
          <w:szCs w:val="28"/>
        </w:rPr>
      </w:pPr>
    </w:p>
    <w:p w:rsidR="00881EDC" w:rsidRDefault="00881EDC" w:rsidP="00881EDC">
      <w:pPr>
        <w:rPr>
          <w:b/>
          <w:bCs/>
          <w:sz w:val="28"/>
          <w:szCs w:val="28"/>
        </w:rPr>
      </w:pPr>
    </w:p>
    <w:p w:rsidR="00881EDC" w:rsidRDefault="00881EDC" w:rsidP="00881EDC">
      <w:pPr>
        <w:rPr>
          <w:b/>
          <w:bCs/>
          <w:sz w:val="28"/>
          <w:szCs w:val="28"/>
        </w:rPr>
      </w:pPr>
      <w:r>
        <w:rPr>
          <w:b/>
          <w:bCs/>
          <w:sz w:val="28"/>
          <w:szCs w:val="28"/>
        </w:rPr>
        <w:tab/>
      </w:r>
      <w:r>
        <w:rPr>
          <w:sz w:val="28"/>
          <w:szCs w:val="28"/>
        </w:rPr>
        <w:t>Civil Action Number</w:t>
      </w:r>
    </w:p>
    <w:p w:rsidR="00881EDC" w:rsidRDefault="00881EDC" w:rsidP="00881EDC">
      <w:pPr>
        <w:rPr>
          <w:b/>
          <w:bCs/>
          <w:sz w:val="28"/>
          <w:szCs w:val="28"/>
        </w:rPr>
      </w:pPr>
      <w:r>
        <w:rPr>
          <w:b/>
          <w:bCs/>
          <w:sz w:val="28"/>
          <w:szCs w:val="28"/>
        </w:rPr>
        <w:tab/>
        <w:t>_:__-cv-____-AKK</w:t>
      </w:r>
    </w:p>
    <w:p w:rsidR="00881EDC" w:rsidRDefault="00881EDC" w:rsidP="00881EDC">
      <w:pPr>
        <w:rPr>
          <w:b/>
          <w:bCs/>
          <w:sz w:val="28"/>
          <w:szCs w:val="28"/>
        </w:rPr>
      </w:pPr>
    </w:p>
    <w:p w:rsidR="00881EDC" w:rsidRDefault="00881EDC" w:rsidP="00881EDC">
      <w:pPr>
        <w:rPr>
          <w:b/>
          <w:bCs/>
          <w:sz w:val="28"/>
          <w:szCs w:val="28"/>
        </w:rPr>
      </w:pPr>
    </w:p>
    <w:p w:rsidR="00881EDC" w:rsidRDefault="00881EDC" w:rsidP="00881EDC">
      <w:pPr>
        <w:rPr>
          <w:sz w:val="28"/>
          <w:szCs w:val="28"/>
        </w:rPr>
        <w:sectPr w:rsidR="00881EDC">
          <w:type w:val="continuous"/>
          <w:pgSz w:w="12240" w:h="15840"/>
          <w:pgMar w:top="1440" w:right="1440" w:bottom="1440" w:left="1440" w:header="1440" w:footer="1440" w:gutter="0"/>
          <w:cols w:num="3" w:space="720" w:equalWidth="0">
            <w:col w:w="4050" w:space="720"/>
            <w:col w:w="411" w:space="432"/>
            <w:col w:w="3742"/>
          </w:cols>
          <w:noEndnote/>
        </w:sectPr>
      </w:pPr>
      <w:r>
        <w:rPr>
          <w:b/>
          <w:bCs/>
          <w:sz w:val="28"/>
          <w:szCs w:val="28"/>
        </w:rPr>
        <w:tab/>
      </w:r>
    </w:p>
    <w:p w:rsidR="00881EDC" w:rsidRDefault="00881EDC" w:rsidP="00881EDC">
      <w:pPr>
        <w:rPr>
          <w:sz w:val="28"/>
          <w:szCs w:val="28"/>
        </w:rPr>
      </w:pPr>
    </w:p>
    <w:p w:rsidR="00881EDC" w:rsidRDefault="00881EDC" w:rsidP="00881EDC">
      <w:pPr>
        <w:jc w:val="center"/>
        <w:rPr>
          <w:sz w:val="28"/>
          <w:szCs w:val="28"/>
        </w:rPr>
      </w:pPr>
      <w:r>
        <w:rPr>
          <w:b/>
          <w:bCs/>
          <w:sz w:val="28"/>
          <w:szCs w:val="28"/>
          <w:u w:val="single"/>
        </w:rPr>
        <w:t>SCHEDULING ORDER</w:t>
      </w:r>
    </w:p>
    <w:p w:rsidR="00881EDC" w:rsidRDefault="00881EDC" w:rsidP="00881EDC">
      <w:pPr>
        <w:jc w:val="center"/>
        <w:rPr>
          <w:sz w:val="28"/>
          <w:szCs w:val="28"/>
        </w:rPr>
      </w:pPr>
    </w:p>
    <w:p w:rsidR="00881EDC" w:rsidRDefault="00881EDC" w:rsidP="00881EDC">
      <w:pPr>
        <w:spacing w:line="480" w:lineRule="auto"/>
        <w:rPr>
          <w:sz w:val="28"/>
          <w:szCs w:val="28"/>
        </w:rPr>
      </w:pPr>
      <w:r>
        <w:rPr>
          <w:sz w:val="28"/>
          <w:szCs w:val="28"/>
        </w:rPr>
        <w:tab/>
        <w:t xml:space="preserve">On ___________, the court held a scheduling conference with counsel for the parties.  Appearing at the conference </w:t>
      </w:r>
      <w:proofErr w:type="gramStart"/>
      <w:r>
        <w:rPr>
          <w:sz w:val="28"/>
          <w:szCs w:val="28"/>
        </w:rPr>
        <w:t>were</w:t>
      </w:r>
      <w:proofErr w:type="gramEnd"/>
      <w:r>
        <w:rPr>
          <w:sz w:val="28"/>
          <w:szCs w:val="28"/>
        </w:rPr>
        <w:t>:</w:t>
      </w:r>
    </w:p>
    <w:p w:rsidR="00881EDC" w:rsidRDefault="00881EDC" w:rsidP="00881EDC">
      <w:pPr>
        <w:spacing w:line="480" w:lineRule="auto"/>
        <w:rPr>
          <w:sz w:val="28"/>
          <w:szCs w:val="28"/>
        </w:rPr>
      </w:pPr>
      <w:r>
        <w:rPr>
          <w:sz w:val="28"/>
          <w:szCs w:val="28"/>
        </w:rPr>
        <w:t>Representing plaintiff(s):</w:t>
      </w:r>
      <w:r>
        <w:rPr>
          <w:b/>
          <w:bCs/>
          <w:sz w:val="28"/>
          <w:szCs w:val="28"/>
          <w:u w:val="single"/>
        </w:rPr>
        <w:t xml:space="preserve">       </w:t>
      </w:r>
      <w:proofErr w:type="spellStart"/>
      <w:r>
        <w:rPr>
          <w:b/>
          <w:bCs/>
          <w:sz w:val="28"/>
          <w:szCs w:val="28"/>
          <w:u w:val="single"/>
        </w:rPr>
        <w:t>atty</w:t>
      </w:r>
      <w:proofErr w:type="spellEnd"/>
      <w:r>
        <w:rPr>
          <w:b/>
          <w:bCs/>
          <w:sz w:val="28"/>
          <w:szCs w:val="28"/>
          <w:u w:val="single"/>
        </w:rPr>
        <w:t xml:space="preserve"> name                                                  </w:t>
      </w:r>
      <w:r>
        <w:rPr>
          <w:sz w:val="28"/>
          <w:szCs w:val="28"/>
        </w:rPr>
        <w:t xml:space="preserve">  </w:t>
      </w:r>
    </w:p>
    <w:p w:rsidR="00881EDC" w:rsidRDefault="00881EDC" w:rsidP="00881EDC">
      <w:pPr>
        <w:spacing w:line="480" w:lineRule="auto"/>
        <w:rPr>
          <w:sz w:val="28"/>
          <w:szCs w:val="28"/>
        </w:rPr>
      </w:pPr>
      <w:r>
        <w:rPr>
          <w:sz w:val="28"/>
          <w:szCs w:val="28"/>
        </w:rPr>
        <w:t>Representing defendant(s):</w:t>
      </w:r>
      <w:r>
        <w:rPr>
          <w:b/>
          <w:bCs/>
          <w:sz w:val="28"/>
          <w:szCs w:val="28"/>
          <w:u w:val="single"/>
        </w:rPr>
        <w:t xml:space="preserve">    </w:t>
      </w:r>
      <w:proofErr w:type="spellStart"/>
      <w:r>
        <w:rPr>
          <w:b/>
          <w:bCs/>
          <w:sz w:val="28"/>
          <w:szCs w:val="28"/>
          <w:u w:val="single"/>
        </w:rPr>
        <w:t>atty</w:t>
      </w:r>
      <w:proofErr w:type="spellEnd"/>
      <w:r>
        <w:rPr>
          <w:b/>
          <w:bCs/>
          <w:sz w:val="28"/>
          <w:szCs w:val="28"/>
          <w:u w:val="single"/>
        </w:rPr>
        <w:t xml:space="preserve"> name                                                  </w:t>
      </w:r>
      <w:r>
        <w:rPr>
          <w:sz w:val="28"/>
          <w:szCs w:val="28"/>
        </w:rPr>
        <w:tab/>
      </w:r>
    </w:p>
    <w:p w:rsidR="00881EDC" w:rsidRDefault="00881EDC" w:rsidP="00881EDC">
      <w:pPr>
        <w:spacing w:line="480" w:lineRule="auto"/>
        <w:rPr>
          <w:sz w:val="28"/>
          <w:szCs w:val="28"/>
        </w:rPr>
      </w:pPr>
      <w:r>
        <w:rPr>
          <w:sz w:val="28"/>
          <w:szCs w:val="28"/>
        </w:rPr>
        <w:tab/>
        <w:t>It is hereby ORDERED as follows:</w:t>
      </w:r>
    </w:p>
    <w:p w:rsidR="00881EDC" w:rsidRDefault="00881EDC" w:rsidP="00881EDC">
      <w:pPr>
        <w:spacing w:line="480" w:lineRule="auto"/>
        <w:rPr>
          <w:sz w:val="28"/>
          <w:szCs w:val="28"/>
        </w:rPr>
      </w:pPr>
      <w:r>
        <w:rPr>
          <w:sz w:val="28"/>
          <w:szCs w:val="28"/>
        </w:rPr>
        <w:t>This case is:</w:t>
      </w:r>
      <w:r>
        <w:rPr>
          <w:b/>
          <w:bCs/>
          <w:sz w:val="28"/>
          <w:szCs w:val="28"/>
        </w:rPr>
        <w:t xml:space="preserve"> </w:t>
      </w:r>
      <w:r>
        <w:rPr>
          <w:b/>
          <w:bCs/>
          <w:sz w:val="28"/>
          <w:szCs w:val="28"/>
          <w:u w:val="single"/>
        </w:rPr>
        <w:t xml:space="preserve">    Jury/Non-jury           </w:t>
      </w:r>
      <w:r>
        <w:rPr>
          <w:sz w:val="28"/>
          <w:szCs w:val="28"/>
        </w:rPr>
        <w:t>.</w:t>
      </w:r>
    </w:p>
    <w:p w:rsidR="00881EDC" w:rsidRDefault="00881EDC" w:rsidP="00881EDC">
      <w:pPr>
        <w:spacing w:line="480" w:lineRule="auto"/>
        <w:rPr>
          <w:sz w:val="28"/>
          <w:szCs w:val="28"/>
        </w:rPr>
        <w:sectPr w:rsidR="00881EDC">
          <w:type w:val="continuous"/>
          <w:pgSz w:w="12240" w:h="15840"/>
          <w:pgMar w:top="1440" w:right="1440" w:bottom="1440" w:left="1440" w:header="1440" w:footer="1440" w:gutter="0"/>
          <w:cols w:space="720"/>
          <w:noEndnote/>
        </w:sectPr>
      </w:pPr>
    </w:p>
    <w:p w:rsidR="00881EDC" w:rsidRDefault="00881EDC" w:rsidP="00881EDC">
      <w:pPr>
        <w:pStyle w:val="Level1"/>
        <w:numPr>
          <w:ilvl w:val="0"/>
          <w:numId w:val="1"/>
        </w:numPr>
        <w:spacing w:line="480" w:lineRule="auto"/>
        <w:rPr>
          <w:sz w:val="28"/>
          <w:szCs w:val="28"/>
        </w:rPr>
      </w:pPr>
      <w:r>
        <w:rPr>
          <w:sz w:val="28"/>
          <w:szCs w:val="28"/>
        </w:rPr>
        <w:lastRenderedPageBreak/>
        <w:tab/>
      </w:r>
      <w:r>
        <w:rPr>
          <w:sz w:val="28"/>
          <w:szCs w:val="28"/>
        </w:rPr>
        <w:tab/>
      </w:r>
      <w:r>
        <w:rPr>
          <w:b/>
          <w:bCs/>
          <w:sz w:val="28"/>
          <w:szCs w:val="28"/>
        </w:rPr>
        <w:t>EXTENSIONS FOR THE DEADLINES SET FOR DISCOVERY CUTOFF AND DISPOSITIVE MOTIONS WILL NOT BE EXTENDED ABSENT GOOD CAUSE SHOWN.</w:t>
      </w:r>
      <w:r>
        <w:rPr>
          <w:sz w:val="28"/>
          <w:szCs w:val="28"/>
        </w:rPr>
        <w:t xml:space="preserve"> </w:t>
      </w:r>
    </w:p>
    <w:p w:rsidR="00881EDC" w:rsidRDefault="00881EDC" w:rsidP="00881EDC">
      <w:pPr>
        <w:pStyle w:val="Level1"/>
        <w:numPr>
          <w:ilvl w:val="0"/>
          <w:numId w:val="1"/>
        </w:numPr>
        <w:spacing w:line="480" w:lineRule="auto"/>
        <w:ind w:firstLine="720"/>
        <w:rPr>
          <w:sz w:val="28"/>
          <w:szCs w:val="28"/>
        </w:rPr>
      </w:pPr>
      <w:r>
        <w:rPr>
          <w:sz w:val="28"/>
          <w:szCs w:val="28"/>
        </w:rPr>
        <w:tab/>
      </w:r>
      <w:r>
        <w:rPr>
          <w:b/>
          <w:bCs/>
          <w:sz w:val="28"/>
          <w:szCs w:val="28"/>
        </w:rPr>
        <w:t>Discovery:</w:t>
      </w:r>
      <w:r>
        <w:rPr>
          <w:sz w:val="28"/>
          <w:szCs w:val="28"/>
        </w:rPr>
        <w:t xml:space="preserve">  All </w:t>
      </w:r>
      <w:proofErr w:type="gramStart"/>
      <w:r>
        <w:rPr>
          <w:sz w:val="28"/>
          <w:szCs w:val="28"/>
        </w:rPr>
        <w:t>discovery</w:t>
      </w:r>
      <w:proofErr w:type="gramEnd"/>
      <w:r>
        <w:rPr>
          <w:sz w:val="28"/>
          <w:szCs w:val="28"/>
        </w:rPr>
        <w:t xml:space="preserve"> is to be commenced in time to be completed by </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b/>
          <w:bCs/>
          <w:sz w:val="28"/>
          <w:szCs w:val="28"/>
        </w:rPr>
        <w:softHyphen/>
      </w:r>
      <w:r>
        <w:rPr>
          <w:b/>
          <w:bCs/>
          <w:sz w:val="28"/>
          <w:szCs w:val="28"/>
          <w:u w:val="single"/>
        </w:rPr>
        <w:t xml:space="preserve">                     </w:t>
      </w:r>
      <w:r>
        <w:rPr>
          <w:sz w:val="28"/>
          <w:szCs w:val="28"/>
        </w:rPr>
        <w:t xml:space="preserve">. </w:t>
      </w:r>
    </w:p>
    <w:p w:rsidR="00881EDC" w:rsidRDefault="00881EDC" w:rsidP="00881EDC">
      <w:pPr>
        <w:pStyle w:val="Level1"/>
        <w:numPr>
          <w:ilvl w:val="0"/>
          <w:numId w:val="1"/>
        </w:numPr>
        <w:spacing w:line="480" w:lineRule="auto"/>
        <w:rPr>
          <w:sz w:val="28"/>
          <w:szCs w:val="28"/>
        </w:rPr>
      </w:pPr>
      <w:r>
        <w:rPr>
          <w:sz w:val="28"/>
          <w:szCs w:val="28"/>
        </w:rPr>
        <w:lastRenderedPageBreak/>
        <w:tab/>
      </w:r>
      <w:r>
        <w:rPr>
          <w:sz w:val="28"/>
          <w:szCs w:val="28"/>
        </w:rPr>
        <w:tab/>
      </w:r>
      <w:r>
        <w:rPr>
          <w:b/>
          <w:bCs/>
          <w:sz w:val="28"/>
          <w:szCs w:val="28"/>
        </w:rPr>
        <w:t>Initial Disclosures</w:t>
      </w:r>
      <w:r>
        <w:rPr>
          <w:sz w:val="28"/>
          <w:szCs w:val="28"/>
        </w:rPr>
        <w:t>: The parties will exchange the information required by Local Rule 26.1(a</w:t>
      </w:r>
      <w:proofErr w:type="gramStart"/>
      <w:r>
        <w:rPr>
          <w:sz w:val="28"/>
          <w:szCs w:val="28"/>
        </w:rPr>
        <w:t>)(</w:t>
      </w:r>
      <w:proofErr w:type="gramEnd"/>
      <w:r>
        <w:rPr>
          <w:sz w:val="28"/>
          <w:szCs w:val="28"/>
        </w:rPr>
        <w:t xml:space="preserve">1) by </w:t>
      </w:r>
      <w:r>
        <w:rPr>
          <w:b/>
          <w:bCs/>
          <w:sz w:val="28"/>
          <w:szCs w:val="28"/>
          <w:u w:val="single"/>
        </w:rPr>
        <w:t xml:space="preserve">                         </w:t>
      </w:r>
      <w:r>
        <w:rPr>
          <w:sz w:val="28"/>
          <w:szCs w:val="28"/>
        </w:rPr>
        <w:t xml:space="preserve">. </w:t>
      </w:r>
    </w:p>
    <w:p w:rsidR="00881EDC" w:rsidRDefault="00881EDC" w:rsidP="00881EDC">
      <w:pPr>
        <w:pStyle w:val="Level1"/>
        <w:numPr>
          <w:ilvl w:val="0"/>
          <w:numId w:val="1"/>
        </w:numPr>
        <w:spacing w:line="480" w:lineRule="auto"/>
        <w:ind w:firstLine="720"/>
        <w:rPr>
          <w:sz w:val="28"/>
          <w:szCs w:val="28"/>
        </w:rPr>
      </w:pPr>
      <w:r>
        <w:rPr>
          <w:sz w:val="28"/>
          <w:szCs w:val="28"/>
        </w:rPr>
        <w:tab/>
      </w:r>
      <w:r>
        <w:rPr>
          <w:b/>
          <w:bCs/>
          <w:sz w:val="28"/>
          <w:szCs w:val="28"/>
        </w:rPr>
        <w:t>Electronically Stored Information</w:t>
      </w:r>
      <w:r>
        <w:rPr>
          <w:sz w:val="28"/>
          <w:szCs w:val="28"/>
        </w:rPr>
        <w:t>:   To the extent it exists, relevant, non-privileged electronic information will be produced by the parties in either PDF or hardcopy format, to enable the parties to exchange discoverable information without undue burden or costs.  A requesting party may obtain relevant, non-privileged, electronic information in a format other than PDF or hardcopy only upon agreement by the parties or a showing of substantial need to the court for such information in that format.  The parties agree to the entry of an order regarding claims of privilege or of protection with respect to the inadvertent production of any privileged material that will allow the producing party to claw back such inadvertently produced document and will further require that such party produce a privilege log as to any such document.</w:t>
      </w:r>
    </w:p>
    <w:p w:rsidR="00881EDC" w:rsidRDefault="00881EDC" w:rsidP="00881EDC">
      <w:pPr>
        <w:pStyle w:val="Level1"/>
        <w:numPr>
          <w:ilvl w:val="0"/>
          <w:numId w:val="1"/>
        </w:numPr>
        <w:spacing w:line="480" w:lineRule="auto"/>
        <w:ind w:firstLine="720"/>
        <w:rPr>
          <w:sz w:val="28"/>
          <w:szCs w:val="28"/>
        </w:rPr>
      </w:pPr>
      <w:r>
        <w:rPr>
          <w:sz w:val="28"/>
          <w:szCs w:val="28"/>
        </w:rPr>
        <w:tab/>
      </w:r>
      <w:r>
        <w:rPr>
          <w:b/>
          <w:bCs/>
          <w:sz w:val="28"/>
          <w:szCs w:val="28"/>
        </w:rPr>
        <w:t>Limitations on Interrogatories:</w:t>
      </w:r>
      <w:r>
        <w:rPr>
          <w:sz w:val="28"/>
          <w:szCs w:val="28"/>
        </w:rPr>
        <w:t xml:space="preserve">  Maximum of __ interrogatories (including discrete subparts) by each party to any other party.  Responses due 30 days after service.  </w:t>
      </w:r>
    </w:p>
    <w:p w:rsidR="00881EDC" w:rsidRDefault="00881EDC" w:rsidP="00881EDC">
      <w:pPr>
        <w:pStyle w:val="Level1"/>
        <w:numPr>
          <w:ilvl w:val="0"/>
          <w:numId w:val="1"/>
        </w:numPr>
        <w:spacing w:line="480" w:lineRule="auto"/>
        <w:ind w:firstLine="720"/>
        <w:rPr>
          <w:sz w:val="28"/>
          <w:szCs w:val="28"/>
        </w:rPr>
      </w:pPr>
      <w:r>
        <w:rPr>
          <w:sz w:val="28"/>
          <w:szCs w:val="28"/>
        </w:rPr>
        <w:tab/>
      </w:r>
      <w:r>
        <w:rPr>
          <w:b/>
          <w:bCs/>
          <w:sz w:val="28"/>
          <w:szCs w:val="28"/>
        </w:rPr>
        <w:t>Limitations on Requests for Production:</w:t>
      </w:r>
      <w:r>
        <w:rPr>
          <w:sz w:val="28"/>
          <w:szCs w:val="28"/>
        </w:rPr>
        <w:t xml:space="preserve">  Maximum of </w:t>
      </w:r>
      <w:r>
        <w:rPr>
          <w:b/>
          <w:bCs/>
          <w:sz w:val="28"/>
          <w:szCs w:val="28"/>
          <w:u w:val="single"/>
        </w:rPr>
        <w:t xml:space="preserve">    </w:t>
      </w:r>
      <w:r>
        <w:rPr>
          <w:sz w:val="28"/>
          <w:szCs w:val="28"/>
        </w:rPr>
        <w:t xml:space="preserve"> requests for production (including discrete subparts) to any other party.  Responses due 30 days after service.</w:t>
      </w:r>
    </w:p>
    <w:p w:rsidR="00881EDC" w:rsidRDefault="00881EDC" w:rsidP="00881EDC">
      <w:pPr>
        <w:pStyle w:val="Level1"/>
        <w:numPr>
          <w:ilvl w:val="0"/>
          <w:numId w:val="1"/>
        </w:numPr>
        <w:spacing w:line="480" w:lineRule="auto"/>
        <w:ind w:firstLine="720"/>
        <w:rPr>
          <w:sz w:val="28"/>
          <w:szCs w:val="28"/>
        </w:rPr>
      </w:pPr>
      <w:r>
        <w:rPr>
          <w:sz w:val="28"/>
          <w:szCs w:val="28"/>
        </w:rPr>
        <w:lastRenderedPageBreak/>
        <w:tab/>
      </w:r>
      <w:r>
        <w:rPr>
          <w:b/>
          <w:bCs/>
          <w:sz w:val="28"/>
          <w:szCs w:val="28"/>
        </w:rPr>
        <w:t>Limitations on Requests for Admission:</w:t>
      </w:r>
      <w:r>
        <w:rPr>
          <w:sz w:val="28"/>
          <w:szCs w:val="28"/>
        </w:rPr>
        <w:t xml:space="preserve">  Maximum of </w:t>
      </w:r>
      <w:r>
        <w:rPr>
          <w:b/>
          <w:bCs/>
          <w:sz w:val="28"/>
          <w:szCs w:val="28"/>
          <w:u w:val="single"/>
        </w:rPr>
        <w:t xml:space="preserve">    </w:t>
      </w:r>
      <w:r>
        <w:rPr>
          <w:sz w:val="28"/>
          <w:szCs w:val="28"/>
        </w:rPr>
        <w:t xml:space="preserve"> requests for admission by each party to any other party.  Responses due 30 days after service.</w:t>
      </w:r>
    </w:p>
    <w:p w:rsidR="00881EDC" w:rsidRDefault="00881EDC" w:rsidP="00881EDC">
      <w:pPr>
        <w:pStyle w:val="Level1"/>
        <w:numPr>
          <w:ilvl w:val="0"/>
          <w:numId w:val="1"/>
        </w:numPr>
        <w:spacing w:line="480" w:lineRule="auto"/>
        <w:ind w:firstLine="720"/>
        <w:rPr>
          <w:sz w:val="28"/>
          <w:szCs w:val="28"/>
        </w:rPr>
      </w:pPr>
      <w:r>
        <w:rPr>
          <w:sz w:val="28"/>
          <w:szCs w:val="28"/>
        </w:rPr>
        <w:tab/>
      </w:r>
      <w:r>
        <w:rPr>
          <w:b/>
          <w:bCs/>
          <w:sz w:val="28"/>
          <w:szCs w:val="28"/>
        </w:rPr>
        <w:t>Limitations on Depositions:</w:t>
      </w:r>
      <w:r>
        <w:rPr>
          <w:sz w:val="28"/>
          <w:szCs w:val="28"/>
        </w:rPr>
        <w:t xml:space="preserve">     Maximum of </w:t>
      </w:r>
      <w:r>
        <w:rPr>
          <w:b/>
          <w:bCs/>
          <w:sz w:val="28"/>
          <w:szCs w:val="28"/>
          <w:u w:val="single"/>
        </w:rPr>
        <w:t xml:space="preserve">    </w:t>
      </w:r>
      <w:r>
        <w:rPr>
          <w:sz w:val="28"/>
          <w:szCs w:val="28"/>
        </w:rPr>
        <w:t xml:space="preserve"> depositions by plaintiff and </w:t>
      </w:r>
      <w:r>
        <w:rPr>
          <w:b/>
          <w:bCs/>
          <w:sz w:val="28"/>
          <w:szCs w:val="28"/>
          <w:u w:val="single"/>
        </w:rPr>
        <w:t xml:space="preserve">    </w:t>
      </w:r>
      <w:r>
        <w:rPr>
          <w:b/>
          <w:bCs/>
          <w:sz w:val="28"/>
          <w:szCs w:val="28"/>
        </w:rPr>
        <w:t xml:space="preserve"> </w:t>
      </w:r>
      <w:r>
        <w:rPr>
          <w:sz w:val="28"/>
          <w:szCs w:val="28"/>
        </w:rPr>
        <w:t>by defendant.   Each deposition is limited to a maximum of</w:t>
      </w:r>
      <w:r>
        <w:rPr>
          <w:b/>
          <w:bCs/>
          <w:sz w:val="28"/>
          <w:szCs w:val="28"/>
        </w:rPr>
        <w:t xml:space="preserve"> </w:t>
      </w:r>
      <w:r>
        <w:rPr>
          <w:b/>
          <w:bCs/>
          <w:sz w:val="28"/>
          <w:szCs w:val="28"/>
          <w:u w:val="single"/>
        </w:rPr>
        <w:t xml:space="preserve">      </w:t>
      </w:r>
      <w:r>
        <w:rPr>
          <w:b/>
          <w:bCs/>
          <w:sz w:val="28"/>
          <w:szCs w:val="28"/>
        </w:rPr>
        <w:t xml:space="preserve"> </w:t>
      </w:r>
      <w:r>
        <w:rPr>
          <w:sz w:val="28"/>
          <w:szCs w:val="28"/>
        </w:rPr>
        <w:t>hours unless extended by agreement of the parties or order of the court.</w:t>
      </w:r>
    </w:p>
    <w:p w:rsidR="00881EDC" w:rsidRDefault="00881EDC" w:rsidP="00881EDC">
      <w:pPr>
        <w:pStyle w:val="Level1"/>
        <w:numPr>
          <w:ilvl w:val="0"/>
          <w:numId w:val="1"/>
        </w:numPr>
        <w:spacing w:line="480" w:lineRule="auto"/>
        <w:ind w:firstLine="720"/>
        <w:rPr>
          <w:sz w:val="28"/>
          <w:szCs w:val="28"/>
        </w:rPr>
      </w:pPr>
      <w:r>
        <w:rPr>
          <w:sz w:val="28"/>
          <w:szCs w:val="28"/>
        </w:rPr>
        <w:tab/>
      </w:r>
      <w:r>
        <w:rPr>
          <w:b/>
          <w:bCs/>
          <w:sz w:val="28"/>
          <w:szCs w:val="28"/>
        </w:rPr>
        <w:t>Reports from retained experts under Fed. R. Civ. P.  26(a</w:t>
      </w:r>
      <w:proofErr w:type="gramStart"/>
      <w:r>
        <w:rPr>
          <w:b/>
          <w:bCs/>
          <w:sz w:val="28"/>
          <w:szCs w:val="28"/>
        </w:rPr>
        <w:t>)(</w:t>
      </w:r>
      <w:proofErr w:type="gramEnd"/>
      <w:r>
        <w:rPr>
          <w:b/>
          <w:bCs/>
          <w:sz w:val="28"/>
          <w:szCs w:val="28"/>
        </w:rPr>
        <w:t>2)</w:t>
      </w:r>
      <w:r>
        <w:rPr>
          <w:sz w:val="28"/>
          <w:szCs w:val="28"/>
        </w:rPr>
        <w:t xml:space="preserve">:  Due from plaintiff by </w:t>
      </w:r>
      <w:r>
        <w:rPr>
          <w:b/>
          <w:bCs/>
          <w:sz w:val="28"/>
          <w:szCs w:val="28"/>
          <w:u w:val="single"/>
        </w:rPr>
        <w:t xml:space="preserve">                   </w:t>
      </w:r>
      <w:r>
        <w:rPr>
          <w:sz w:val="28"/>
          <w:szCs w:val="28"/>
        </w:rPr>
        <w:t>, and from defendant by</w:t>
      </w:r>
      <w:r>
        <w:rPr>
          <w:b/>
          <w:bCs/>
          <w:sz w:val="28"/>
          <w:szCs w:val="28"/>
        </w:rPr>
        <w:t xml:space="preserve"> </w:t>
      </w:r>
      <w:r>
        <w:rPr>
          <w:b/>
          <w:bCs/>
          <w:sz w:val="28"/>
          <w:szCs w:val="28"/>
          <w:u w:val="single"/>
        </w:rPr>
        <w:t xml:space="preserve">                          .</w:t>
      </w:r>
    </w:p>
    <w:p w:rsidR="00881EDC" w:rsidRDefault="00881EDC" w:rsidP="00881EDC">
      <w:pPr>
        <w:pStyle w:val="Level1"/>
        <w:numPr>
          <w:ilvl w:val="0"/>
          <w:numId w:val="1"/>
        </w:numPr>
        <w:spacing w:line="480" w:lineRule="auto"/>
        <w:ind w:firstLine="720"/>
        <w:rPr>
          <w:sz w:val="28"/>
          <w:szCs w:val="28"/>
        </w:rPr>
      </w:pPr>
      <w:r>
        <w:rPr>
          <w:sz w:val="28"/>
          <w:szCs w:val="28"/>
        </w:rPr>
        <w:tab/>
      </w:r>
      <w:r>
        <w:rPr>
          <w:b/>
          <w:bCs/>
          <w:sz w:val="28"/>
          <w:szCs w:val="28"/>
        </w:rPr>
        <w:t xml:space="preserve">Supplementation of disclosures and discovery under Fed. R. Civ. P. 26(e) </w:t>
      </w:r>
      <w:proofErr w:type="gramStart"/>
      <w:r>
        <w:rPr>
          <w:b/>
          <w:bCs/>
          <w:sz w:val="28"/>
          <w:szCs w:val="28"/>
        </w:rPr>
        <w:t>are</w:t>
      </w:r>
      <w:proofErr w:type="gramEnd"/>
      <w:r>
        <w:rPr>
          <w:b/>
          <w:bCs/>
          <w:sz w:val="28"/>
          <w:szCs w:val="28"/>
        </w:rPr>
        <w:t xml:space="preserve"> due</w:t>
      </w:r>
      <w:r>
        <w:rPr>
          <w:sz w:val="28"/>
          <w:szCs w:val="28"/>
        </w:rPr>
        <w:t xml:space="preserve"> as soon as reasonably possible after new information is discovered, but no later than </w:t>
      </w:r>
      <w:r>
        <w:rPr>
          <w:b/>
          <w:bCs/>
          <w:sz w:val="28"/>
          <w:szCs w:val="28"/>
          <w:u w:val="single"/>
        </w:rPr>
        <w:t xml:space="preserve">                              </w:t>
      </w:r>
      <w:r>
        <w:rPr>
          <w:sz w:val="28"/>
          <w:szCs w:val="28"/>
        </w:rPr>
        <w:t>.</w:t>
      </w:r>
    </w:p>
    <w:p w:rsidR="00881EDC" w:rsidRDefault="00881EDC" w:rsidP="00881EDC">
      <w:pPr>
        <w:pStyle w:val="Level1"/>
        <w:numPr>
          <w:ilvl w:val="0"/>
          <w:numId w:val="1"/>
        </w:numPr>
        <w:spacing w:line="480" w:lineRule="auto"/>
        <w:ind w:firstLine="720"/>
        <w:rPr>
          <w:sz w:val="28"/>
          <w:szCs w:val="28"/>
        </w:rPr>
      </w:pPr>
      <w:r>
        <w:rPr>
          <w:sz w:val="28"/>
          <w:szCs w:val="28"/>
        </w:rPr>
        <w:tab/>
      </w:r>
      <w:r>
        <w:rPr>
          <w:b/>
          <w:bCs/>
          <w:sz w:val="28"/>
          <w:szCs w:val="28"/>
        </w:rPr>
        <w:t>Parties and Pleadings:</w:t>
      </w:r>
      <w:r>
        <w:rPr>
          <w:sz w:val="28"/>
          <w:szCs w:val="28"/>
        </w:rPr>
        <w:t xml:space="preserve">  Plaintiff is allowed until</w:t>
      </w:r>
      <w:r>
        <w:rPr>
          <w:b/>
          <w:bCs/>
          <w:sz w:val="28"/>
          <w:szCs w:val="28"/>
        </w:rPr>
        <w:t xml:space="preserve"> </w:t>
      </w:r>
      <w:r>
        <w:rPr>
          <w:b/>
          <w:bCs/>
          <w:sz w:val="28"/>
          <w:szCs w:val="28"/>
          <w:u w:val="single"/>
        </w:rPr>
        <w:t xml:space="preserve">                          </w:t>
      </w:r>
      <w:r>
        <w:rPr>
          <w:sz w:val="28"/>
          <w:szCs w:val="28"/>
        </w:rPr>
        <w:t xml:space="preserve"> to join additional parties and to amend the pleadings.  Defendant is allowed until</w:t>
      </w:r>
      <w:r>
        <w:rPr>
          <w:b/>
          <w:bCs/>
          <w:sz w:val="28"/>
          <w:szCs w:val="28"/>
        </w:rPr>
        <w:t xml:space="preserve"> </w:t>
      </w:r>
      <w:r>
        <w:rPr>
          <w:b/>
          <w:bCs/>
          <w:sz w:val="28"/>
          <w:szCs w:val="28"/>
          <w:u w:val="single"/>
        </w:rPr>
        <w:t xml:space="preserve">                                    </w:t>
      </w:r>
      <w:r>
        <w:rPr>
          <w:sz w:val="28"/>
          <w:szCs w:val="28"/>
        </w:rPr>
        <w:t xml:space="preserve"> to join additional parties and amend the pleadings.</w:t>
      </w:r>
      <w:r>
        <w:rPr>
          <w:vertAlign w:val="superscript"/>
        </w:rPr>
        <w:footnoteReference w:customMarkFollows="1" w:id="1"/>
        <w:t>1</w:t>
      </w:r>
      <w:r>
        <w:rPr>
          <w:sz w:val="28"/>
          <w:szCs w:val="28"/>
        </w:rPr>
        <w:t xml:space="preserve">    </w:t>
      </w:r>
    </w:p>
    <w:p w:rsidR="00881EDC" w:rsidRDefault="00881EDC" w:rsidP="00881EDC">
      <w:pPr>
        <w:pStyle w:val="Level1"/>
        <w:numPr>
          <w:ilvl w:val="12"/>
          <w:numId w:val="0"/>
        </w:numPr>
        <w:spacing w:line="480" w:lineRule="auto"/>
        <w:rPr>
          <w:sz w:val="28"/>
          <w:szCs w:val="28"/>
        </w:rPr>
      </w:pPr>
      <w:r>
        <w:rPr>
          <w:sz w:val="28"/>
          <w:szCs w:val="28"/>
        </w:rPr>
        <w:tab/>
        <w:t xml:space="preserve">Unless the party’s pleading may be amended as a matter of course pursuant to Fed. R. Civ. P. 15(a), the party must file a Motion for Leave to Amend.  Such Motion for Leave to Amend shall state, specifically, those matters the party wishes to add or delete and shall contain, attached as an exhibit, the complete and executed Amended Complaint or Amended Answer, which is suitable for filing.  </w:t>
      </w:r>
      <w:r>
        <w:rPr>
          <w:sz w:val="28"/>
          <w:szCs w:val="28"/>
        </w:rPr>
        <w:lastRenderedPageBreak/>
        <w:t>The Motion for Leave to Amend, with the attached amended pleading, shall be served in accordance</w:t>
      </w:r>
      <w:r>
        <w:rPr>
          <w:rFonts w:ascii="CG Times" w:hAnsi="CG Times" w:cs="CG Times"/>
          <w:sz w:val="28"/>
          <w:szCs w:val="28"/>
        </w:rPr>
        <w:t xml:space="preserve"> </w:t>
      </w:r>
      <w:r>
        <w:rPr>
          <w:sz w:val="28"/>
          <w:szCs w:val="28"/>
        </w:rPr>
        <w:t>with Fed. R. Civ. P.  5.</w:t>
      </w:r>
    </w:p>
    <w:p w:rsidR="00881EDC" w:rsidRDefault="00881EDC" w:rsidP="00881EDC">
      <w:pPr>
        <w:pStyle w:val="Level1"/>
        <w:numPr>
          <w:ilvl w:val="0"/>
          <w:numId w:val="1"/>
        </w:numPr>
        <w:spacing w:line="480" w:lineRule="auto"/>
        <w:ind w:firstLine="720"/>
        <w:rPr>
          <w:sz w:val="28"/>
          <w:szCs w:val="28"/>
        </w:rPr>
      </w:pPr>
      <w:r>
        <w:rPr>
          <w:sz w:val="28"/>
          <w:szCs w:val="28"/>
        </w:rPr>
        <w:tab/>
      </w:r>
      <w:r>
        <w:rPr>
          <w:b/>
          <w:bCs/>
          <w:sz w:val="28"/>
          <w:szCs w:val="28"/>
        </w:rPr>
        <w:t>Dispositive Motions:</w:t>
      </w:r>
      <w:r>
        <w:rPr>
          <w:sz w:val="28"/>
          <w:szCs w:val="28"/>
        </w:rPr>
        <w:t xml:space="preserve">  All potentially dispositive motions should be filed by ________________.  </w:t>
      </w:r>
      <w:r>
        <w:rPr>
          <w:b/>
          <w:bCs/>
          <w:sz w:val="28"/>
          <w:szCs w:val="28"/>
        </w:rPr>
        <w:t xml:space="preserve">Appendix II attached hereto sets forth the briefing and submission requirements of summary judgment motions for all parties.  The court will not issue a briefing schedule order upon submission of a dispositive motion.  Appendix III attached hereto governs Non-Summary Judgment Motions.  The parties are expected to follow the directions set forth in Appendices II and III.  </w:t>
      </w:r>
    </w:p>
    <w:p w:rsidR="00881EDC" w:rsidRDefault="00881EDC" w:rsidP="00881EDC">
      <w:pPr>
        <w:pStyle w:val="Level1"/>
        <w:numPr>
          <w:ilvl w:val="0"/>
          <w:numId w:val="1"/>
        </w:numPr>
        <w:spacing w:line="480" w:lineRule="auto"/>
        <w:ind w:firstLine="720"/>
        <w:rPr>
          <w:sz w:val="28"/>
          <w:szCs w:val="28"/>
        </w:rPr>
      </w:pPr>
      <w:r>
        <w:rPr>
          <w:sz w:val="28"/>
          <w:szCs w:val="28"/>
        </w:rPr>
        <w:tab/>
      </w:r>
      <w:r>
        <w:rPr>
          <w:b/>
          <w:bCs/>
          <w:sz w:val="28"/>
          <w:szCs w:val="28"/>
        </w:rPr>
        <w:t>Final lists of witnesses and exhibits under Fed. R. Civ. P. 26(a)(3) and lists of deposition designations for trial testimony</w:t>
      </w:r>
      <w:r>
        <w:rPr>
          <w:sz w:val="28"/>
          <w:szCs w:val="28"/>
        </w:rPr>
        <w:t xml:space="preserve"> must be served and filed </w:t>
      </w:r>
      <w:r>
        <w:rPr>
          <w:b/>
          <w:bCs/>
          <w:sz w:val="28"/>
          <w:szCs w:val="28"/>
        </w:rPr>
        <w:t xml:space="preserve"> </w:t>
      </w:r>
      <w:r>
        <w:rPr>
          <w:b/>
          <w:bCs/>
          <w:sz w:val="28"/>
          <w:szCs w:val="28"/>
          <w:u w:val="single"/>
        </w:rPr>
        <w:t xml:space="preserve">         </w:t>
      </w:r>
      <w:r>
        <w:rPr>
          <w:sz w:val="28"/>
          <w:szCs w:val="28"/>
        </w:rPr>
        <w:t xml:space="preserve"> days before trial.</w:t>
      </w:r>
      <w:r>
        <w:rPr>
          <w:vertAlign w:val="superscript"/>
        </w:rPr>
        <w:footnoteReference w:customMarkFollows="1" w:id="2"/>
        <w:t>2</w:t>
      </w:r>
      <w:r>
        <w:rPr>
          <w:sz w:val="28"/>
          <w:szCs w:val="28"/>
        </w:rPr>
        <w:t xml:space="preserve">  The parties shall have </w:t>
      </w:r>
      <w:r>
        <w:rPr>
          <w:b/>
          <w:bCs/>
          <w:sz w:val="28"/>
          <w:szCs w:val="28"/>
          <w:u w:val="single"/>
        </w:rPr>
        <w:t xml:space="preserve">        </w:t>
      </w:r>
      <w:r>
        <w:rPr>
          <w:sz w:val="28"/>
          <w:szCs w:val="28"/>
        </w:rPr>
        <w:t xml:space="preserve"> days after service of final lists of witnesses and exhibits to file objections under Fed. R. Civ. P.  26(a</w:t>
      </w:r>
      <w:proofErr w:type="gramStart"/>
      <w:r>
        <w:rPr>
          <w:sz w:val="28"/>
          <w:szCs w:val="28"/>
        </w:rPr>
        <w:t>)(</w:t>
      </w:r>
      <w:proofErr w:type="gramEnd"/>
      <w:r>
        <w:rPr>
          <w:sz w:val="28"/>
          <w:szCs w:val="28"/>
        </w:rPr>
        <w:t>3).</w:t>
      </w:r>
    </w:p>
    <w:p w:rsidR="00881EDC" w:rsidRDefault="00881EDC" w:rsidP="00881EDC">
      <w:pPr>
        <w:pStyle w:val="Level1"/>
        <w:numPr>
          <w:ilvl w:val="0"/>
          <w:numId w:val="1"/>
        </w:numPr>
        <w:spacing w:line="480" w:lineRule="auto"/>
        <w:ind w:firstLine="720"/>
        <w:rPr>
          <w:sz w:val="28"/>
          <w:szCs w:val="28"/>
        </w:rPr>
      </w:pPr>
      <w:r>
        <w:rPr>
          <w:sz w:val="28"/>
          <w:szCs w:val="28"/>
        </w:rPr>
        <w:tab/>
      </w:r>
      <w:r>
        <w:rPr>
          <w:b/>
          <w:bCs/>
          <w:sz w:val="28"/>
          <w:szCs w:val="28"/>
        </w:rPr>
        <w:t xml:space="preserve">Motions in </w:t>
      </w:r>
      <w:proofErr w:type="spellStart"/>
      <w:r>
        <w:rPr>
          <w:b/>
          <w:bCs/>
          <w:sz w:val="28"/>
          <w:szCs w:val="28"/>
        </w:rPr>
        <w:t>Limine</w:t>
      </w:r>
      <w:proofErr w:type="spellEnd"/>
      <w:r>
        <w:rPr>
          <w:b/>
          <w:bCs/>
          <w:sz w:val="28"/>
          <w:szCs w:val="28"/>
        </w:rPr>
        <w:t>:</w:t>
      </w:r>
      <w:r>
        <w:rPr>
          <w:sz w:val="28"/>
          <w:szCs w:val="28"/>
        </w:rPr>
        <w:t xml:space="preserve"> All motions in </w:t>
      </w:r>
      <w:proofErr w:type="spellStart"/>
      <w:r>
        <w:rPr>
          <w:sz w:val="28"/>
          <w:szCs w:val="28"/>
        </w:rPr>
        <w:t>limine</w:t>
      </w:r>
      <w:proofErr w:type="spellEnd"/>
      <w:r>
        <w:rPr>
          <w:sz w:val="28"/>
          <w:szCs w:val="28"/>
        </w:rPr>
        <w:t xml:space="preserve"> should be filed </w:t>
      </w:r>
      <w:r>
        <w:rPr>
          <w:b/>
          <w:bCs/>
          <w:sz w:val="28"/>
          <w:szCs w:val="28"/>
        </w:rPr>
        <w:t>15 days prior to trial</w:t>
      </w:r>
      <w:r>
        <w:rPr>
          <w:sz w:val="28"/>
          <w:szCs w:val="28"/>
        </w:rPr>
        <w:t xml:space="preserve">.  </w:t>
      </w:r>
    </w:p>
    <w:p w:rsidR="00881EDC" w:rsidRDefault="00881EDC" w:rsidP="00881EDC">
      <w:pPr>
        <w:pStyle w:val="Level1"/>
        <w:numPr>
          <w:ilvl w:val="0"/>
          <w:numId w:val="1"/>
        </w:numPr>
        <w:spacing w:line="480" w:lineRule="auto"/>
        <w:ind w:firstLine="720"/>
        <w:rPr>
          <w:sz w:val="28"/>
          <w:szCs w:val="28"/>
        </w:rPr>
      </w:pPr>
      <w:r>
        <w:rPr>
          <w:sz w:val="28"/>
          <w:szCs w:val="28"/>
        </w:rPr>
        <w:tab/>
      </w:r>
      <w:r>
        <w:rPr>
          <w:b/>
          <w:bCs/>
          <w:sz w:val="28"/>
          <w:szCs w:val="28"/>
        </w:rPr>
        <w:t>Additional Conferences:</w:t>
      </w:r>
      <w:r>
        <w:rPr>
          <w:sz w:val="28"/>
          <w:szCs w:val="28"/>
        </w:rPr>
        <w:t xml:space="preserve">  </w:t>
      </w:r>
      <w:r>
        <w:rPr>
          <w:b/>
          <w:bCs/>
          <w:sz w:val="28"/>
          <w:szCs w:val="28"/>
          <w:u w:val="single"/>
        </w:rPr>
        <w:t xml:space="preserve"> Final Pretrial Conference requested 45 days prior to trial date</w:t>
      </w:r>
      <w:r>
        <w:rPr>
          <w:sz w:val="28"/>
          <w:szCs w:val="28"/>
        </w:rPr>
        <w:t xml:space="preserve">. </w:t>
      </w:r>
    </w:p>
    <w:p w:rsidR="00881EDC" w:rsidRDefault="00881EDC" w:rsidP="00881EDC">
      <w:pPr>
        <w:pStyle w:val="Level1"/>
        <w:numPr>
          <w:ilvl w:val="0"/>
          <w:numId w:val="1"/>
        </w:numPr>
        <w:spacing w:line="480" w:lineRule="auto"/>
        <w:rPr>
          <w:sz w:val="28"/>
          <w:szCs w:val="28"/>
        </w:rPr>
      </w:pPr>
      <w:r>
        <w:rPr>
          <w:sz w:val="28"/>
          <w:szCs w:val="28"/>
        </w:rPr>
        <w:lastRenderedPageBreak/>
        <w:tab/>
      </w:r>
      <w:r>
        <w:rPr>
          <w:sz w:val="28"/>
          <w:szCs w:val="28"/>
        </w:rPr>
        <w:tab/>
      </w:r>
      <w:r>
        <w:rPr>
          <w:b/>
          <w:bCs/>
          <w:sz w:val="28"/>
          <w:szCs w:val="28"/>
        </w:rPr>
        <w:t>Mediation:</w:t>
      </w:r>
      <w:r>
        <w:rPr>
          <w:sz w:val="28"/>
          <w:szCs w:val="28"/>
        </w:rPr>
        <w:t xml:space="preserve">  Unless a party objects, on [</w:t>
      </w:r>
      <w:r>
        <w:rPr>
          <w:sz w:val="28"/>
          <w:szCs w:val="28"/>
          <w:u w:val="single"/>
        </w:rPr>
        <w:t>30 days prior to the close of</w:t>
      </w:r>
      <w:r>
        <w:rPr>
          <w:sz w:val="28"/>
          <w:szCs w:val="28"/>
        </w:rPr>
        <w:t xml:space="preserve"> </w:t>
      </w:r>
      <w:r>
        <w:rPr>
          <w:sz w:val="28"/>
          <w:szCs w:val="28"/>
          <w:u w:val="single"/>
        </w:rPr>
        <w:t>discovery</w:t>
      </w:r>
      <w:r>
        <w:rPr>
          <w:b/>
          <w:bCs/>
          <w:sz w:val="28"/>
          <w:szCs w:val="28"/>
        </w:rPr>
        <w:t>]</w:t>
      </w:r>
      <w:r>
        <w:rPr>
          <w:sz w:val="28"/>
          <w:szCs w:val="28"/>
        </w:rPr>
        <w:t xml:space="preserve">, the court will issue an order referring this case to </w:t>
      </w:r>
      <w:proofErr w:type="gramStart"/>
      <w:r>
        <w:rPr>
          <w:sz w:val="28"/>
          <w:szCs w:val="28"/>
        </w:rPr>
        <w:t>mediation.</w:t>
      </w:r>
      <w:r>
        <w:rPr>
          <w:vertAlign w:val="superscript"/>
        </w:rPr>
        <w:footnoteReference w:customMarkFollows="1" w:id="3"/>
        <w:t>3</w:t>
      </w:r>
      <w:r>
        <w:rPr>
          <w:sz w:val="28"/>
          <w:szCs w:val="28"/>
        </w:rPr>
        <w:t xml:space="preserve">  A</w:t>
      </w:r>
      <w:proofErr w:type="gramEnd"/>
      <w:r>
        <w:rPr>
          <w:sz w:val="28"/>
          <w:szCs w:val="28"/>
        </w:rPr>
        <w:t xml:space="preserve"> party may object to the referral to mediation – and in that event the court will not issue the mediation order – by corresponding with the court's chambers on or before [</w:t>
      </w:r>
      <w:r>
        <w:rPr>
          <w:sz w:val="28"/>
          <w:szCs w:val="28"/>
          <w:u w:val="single"/>
        </w:rPr>
        <w:t>21 days prior to the close of discovery]</w:t>
      </w:r>
      <w:r>
        <w:rPr>
          <w:sz w:val="28"/>
          <w:szCs w:val="28"/>
        </w:rPr>
        <w:t xml:space="preserve">.  An order sending the parties to mediation does not operate as a stay of the </w:t>
      </w:r>
      <w:proofErr w:type="gramStart"/>
      <w:r>
        <w:rPr>
          <w:sz w:val="28"/>
          <w:szCs w:val="28"/>
        </w:rPr>
        <w:t>proceedings.</w:t>
      </w:r>
      <w:r>
        <w:rPr>
          <w:vertAlign w:val="superscript"/>
        </w:rPr>
        <w:footnoteReference w:customMarkFollows="1" w:id="4"/>
        <w:t>4</w:t>
      </w:r>
      <w:r>
        <w:rPr>
          <w:sz w:val="28"/>
          <w:szCs w:val="28"/>
        </w:rPr>
        <w:t xml:space="preserve">  If</w:t>
      </w:r>
      <w:proofErr w:type="gramEnd"/>
      <w:r>
        <w:rPr>
          <w:sz w:val="28"/>
          <w:szCs w:val="28"/>
        </w:rPr>
        <w:t xml:space="preserve"> the case is sent to mediation, the court will not delay any deadlines set in this Order; specifically, the deadlines set for discovery cutoff and for filing dispositive motions will not be extended.</w:t>
      </w:r>
    </w:p>
    <w:p w:rsidR="00881EDC" w:rsidRDefault="00881EDC" w:rsidP="00881EDC">
      <w:pPr>
        <w:pStyle w:val="Level1"/>
        <w:numPr>
          <w:ilvl w:val="0"/>
          <w:numId w:val="1"/>
        </w:numPr>
        <w:spacing w:line="480" w:lineRule="auto"/>
        <w:ind w:firstLine="720"/>
        <w:rPr>
          <w:sz w:val="28"/>
          <w:szCs w:val="28"/>
        </w:rPr>
      </w:pPr>
      <w:r>
        <w:rPr>
          <w:sz w:val="28"/>
          <w:szCs w:val="28"/>
        </w:rPr>
        <w:tab/>
        <w:t>This case will be trial-ready by</w:t>
      </w:r>
      <w:r>
        <w:rPr>
          <w:b/>
          <w:bCs/>
          <w:sz w:val="28"/>
          <w:szCs w:val="28"/>
        </w:rPr>
        <w:t xml:space="preserve"> </w:t>
      </w:r>
      <w:r>
        <w:rPr>
          <w:b/>
          <w:bCs/>
          <w:sz w:val="28"/>
          <w:szCs w:val="28"/>
          <w:u w:val="single"/>
        </w:rPr>
        <w:t xml:space="preserve">                                </w:t>
      </w:r>
      <w:r>
        <w:rPr>
          <w:sz w:val="28"/>
          <w:szCs w:val="28"/>
        </w:rPr>
        <w:t>.</w:t>
      </w:r>
    </w:p>
    <w:p w:rsidR="00881EDC" w:rsidRDefault="00881EDC" w:rsidP="00881EDC">
      <w:pPr>
        <w:numPr>
          <w:ilvl w:val="12"/>
          <w:numId w:val="0"/>
        </w:numPr>
        <w:spacing w:line="480" w:lineRule="auto"/>
        <w:rPr>
          <w:sz w:val="28"/>
          <w:szCs w:val="28"/>
        </w:rPr>
      </w:pPr>
      <w:r>
        <w:rPr>
          <w:sz w:val="28"/>
          <w:szCs w:val="28"/>
        </w:rPr>
        <w:tab/>
      </w:r>
      <w:r>
        <w:rPr>
          <w:sz w:val="28"/>
          <w:szCs w:val="28"/>
        </w:rPr>
        <w:tab/>
      </w:r>
      <w:r>
        <w:rPr>
          <w:b/>
          <w:bCs/>
          <w:sz w:val="28"/>
          <w:szCs w:val="28"/>
        </w:rPr>
        <w:t>Estimated trial time:</w:t>
      </w:r>
      <w:r>
        <w:rPr>
          <w:sz w:val="28"/>
          <w:szCs w:val="28"/>
        </w:rPr>
        <w:t xml:space="preserve"> </w:t>
      </w:r>
      <w:r>
        <w:rPr>
          <w:b/>
          <w:bCs/>
          <w:sz w:val="28"/>
          <w:szCs w:val="28"/>
          <w:u w:val="single"/>
        </w:rPr>
        <w:t xml:space="preserve">        </w:t>
      </w:r>
      <w:r>
        <w:rPr>
          <w:b/>
          <w:bCs/>
          <w:sz w:val="28"/>
          <w:szCs w:val="28"/>
        </w:rPr>
        <w:t xml:space="preserve"> days</w:t>
      </w:r>
      <w:r>
        <w:rPr>
          <w:sz w:val="28"/>
          <w:szCs w:val="28"/>
        </w:rPr>
        <w:t>.</w:t>
      </w:r>
    </w:p>
    <w:p w:rsidR="00881EDC" w:rsidRDefault="00881EDC" w:rsidP="00881EDC">
      <w:pPr>
        <w:pStyle w:val="Level1"/>
        <w:numPr>
          <w:ilvl w:val="0"/>
          <w:numId w:val="1"/>
        </w:numPr>
        <w:spacing w:line="480" w:lineRule="auto"/>
        <w:ind w:firstLine="720"/>
        <w:rPr>
          <w:sz w:val="28"/>
          <w:szCs w:val="28"/>
        </w:rPr>
      </w:pPr>
      <w:r>
        <w:rPr>
          <w:sz w:val="28"/>
          <w:szCs w:val="28"/>
        </w:rPr>
        <w:tab/>
      </w:r>
      <w:r>
        <w:rPr>
          <w:b/>
          <w:bCs/>
          <w:sz w:val="28"/>
          <w:szCs w:val="28"/>
        </w:rPr>
        <w:t>Marking of Exhibits:</w:t>
      </w:r>
      <w:r>
        <w:rPr>
          <w:sz w:val="28"/>
          <w:szCs w:val="28"/>
        </w:rPr>
        <w:t xml:space="preserve">   Each party that anticipates offering as substantive evidence as many as </w:t>
      </w:r>
      <w:r>
        <w:rPr>
          <w:sz w:val="28"/>
          <w:szCs w:val="28"/>
          <w:u w:val="single"/>
        </w:rPr>
        <w:t>six</w:t>
      </w:r>
      <w:r>
        <w:rPr>
          <w:sz w:val="28"/>
          <w:szCs w:val="28"/>
        </w:rPr>
        <w:t xml:space="preserve"> (6) exhibits shall pre-mark such exhibits in advance of trial, using exhibit labels and exhibit lists available from the Clerk of the Court.  By the time the case is scheduled for trial, a copy of the exhibit list shall be served and filed, with the exhibits being made available for inspection by opposing counsel; the presentation of evidence at trial </w:t>
      </w:r>
      <w:r>
        <w:rPr>
          <w:b/>
          <w:bCs/>
          <w:sz w:val="28"/>
          <w:szCs w:val="28"/>
        </w:rPr>
        <w:t>shall not</w:t>
      </w:r>
      <w:r>
        <w:rPr>
          <w:sz w:val="28"/>
          <w:szCs w:val="28"/>
        </w:rPr>
        <w:t xml:space="preserve"> ordinarily be </w:t>
      </w:r>
      <w:r>
        <w:rPr>
          <w:sz w:val="28"/>
          <w:szCs w:val="28"/>
        </w:rPr>
        <w:lastRenderedPageBreak/>
        <w:t>interrupted for opposing counsel to examine a document that has been so identified and made available for inspection.</w:t>
      </w:r>
    </w:p>
    <w:p w:rsidR="00881EDC" w:rsidRDefault="00881EDC" w:rsidP="00881EDC">
      <w:pPr>
        <w:numPr>
          <w:ilvl w:val="12"/>
          <w:numId w:val="0"/>
        </w:numPr>
        <w:rPr>
          <w:sz w:val="28"/>
          <w:szCs w:val="28"/>
        </w:rPr>
      </w:pPr>
      <w:r>
        <w:rPr>
          <w:sz w:val="28"/>
          <w:szCs w:val="28"/>
        </w:rPr>
        <w:tab/>
      </w:r>
      <w:proofErr w:type="gramStart"/>
      <w:r>
        <w:rPr>
          <w:sz w:val="28"/>
          <w:szCs w:val="28"/>
        </w:rPr>
        <w:t>DONE this ____ day of ___________, 2010.</w:t>
      </w:r>
      <w:proofErr w:type="gramEnd"/>
    </w:p>
    <w:p w:rsidR="00881EDC" w:rsidRDefault="00881EDC" w:rsidP="00881EDC">
      <w:pPr>
        <w:numPr>
          <w:ilvl w:val="12"/>
          <w:numId w:val="0"/>
        </w:numPr>
        <w:rPr>
          <w:sz w:val="28"/>
          <w:szCs w:val="28"/>
        </w:rPr>
      </w:pPr>
      <w:r>
        <w:rPr>
          <w:sz w:val="28"/>
          <w:szCs w:val="28"/>
        </w:rPr>
        <w:tab/>
      </w:r>
      <w:r>
        <w:rPr>
          <w:sz w:val="28"/>
          <w:szCs w:val="28"/>
        </w:rPr>
        <w:tab/>
      </w:r>
      <w:r>
        <w:rPr>
          <w:sz w:val="28"/>
          <w:szCs w:val="28"/>
        </w:rPr>
        <w:tab/>
      </w:r>
    </w:p>
    <w:p w:rsidR="00881EDC" w:rsidRDefault="00881EDC" w:rsidP="00881EDC">
      <w:pPr>
        <w:numPr>
          <w:ilvl w:val="12"/>
          <w:numId w:val="0"/>
        </w:numPr>
        <w:rPr>
          <w:sz w:val="28"/>
          <w:szCs w:val="28"/>
        </w:rPr>
      </w:pPr>
    </w:p>
    <w:p w:rsidR="00881EDC" w:rsidRDefault="00881EDC" w:rsidP="00881EDC">
      <w:pPr>
        <w:numPr>
          <w:ilvl w:val="12"/>
          <w:numId w:val="0"/>
        </w:numPr>
        <w:rPr>
          <w:sz w:val="28"/>
          <w:szCs w:val="28"/>
        </w:rPr>
      </w:pPr>
    </w:p>
    <w:p w:rsidR="00881EDC" w:rsidRDefault="00881EDC" w:rsidP="00881EDC">
      <w:pPr>
        <w:numPr>
          <w:ilvl w:val="12"/>
          <w:numId w:val="0"/>
        </w:numPr>
        <w:rPr>
          <w:sz w:val="28"/>
          <w:szCs w:val="28"/>
        </w:rPr>
      </w:pPr>
    </w:p>
    <w:p w:rsidR="00881EDC" w:rsidRDefault="00881EDC" w:rsidP="00881EDC">
      <w:pPr>
        <w:numPr>
          <w:ilvl w:val="12"/>
          <w:numId w:val="0"/>
        </w:num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________________________________</w:t>
      </w:r>
    </w:p>
    <w:p w:rsidR="00881EDC" w:rsidRDefault="00881EDC" w:rsidP="00881EDC">
      <w:pPr>
        <w:numPr>
          <w:ilvl w:val="12"/>
          <w:numId w:val="0"/>
        </w:num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bCs/>
          <w:sz w:val="28"/>
          <w:szCs w:val="28"/>
        </w:rPr>
        <w:t xml:space="preserve">            ABDUL K. KALLON</w:t>
      </w:r>
    </w:p>
    <w:p w:rsidR="00881EDC" w:rsidRDefault="00881EDC" w:rsidP="00881EDC">
      <w:pPr>
        <w:numPr>
          <w:ilvl w:val="12"/>
          <w:numId w:val="0"/>
        </w:num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UNITED STATES DISTRICT JUDGE </w:t>
      </w:r>
    </w:p>
    <w:p w:rsidR="00881EDC" w:rsidRDefault="00881EDC" w:rsidP="00881EDC">
      <w:pPr>
        <w:numPr>
          <w:ilvl w:val="12"/>
          <w:numId w:val="0"/>
        </w:numPr>
        <w:rPr>
          <w:sz w:val="28"/>
          <w:szCs w:val="28"/>
        </w:rPr>
      </w:pPr>
    </w:p>
    <w:p w:rsidR="00881EDC" w:rsidRDefault="00881EDC" w:rsidP="00881EDC">
      <w:pPr>
        <w:numPr>
          <w:ilvl w:val="12"/>
          <w:numId w:val="0"/>
        </w:numPr>
        <w:rPr>
          <w:b/>
          <w:bCs/>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A7F18" w:rsidRDefault="00CA7F18">
      <w:bookmarkStart w:id="0" w:name="_GoBack"/>
      <w:bookmarkEnd w:id="0"/>
    </w:p>
    <w:sectPr w:rsidR="00CA7F18" w:rsidSect="0028605E">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EDC" w:rsidRDefault="00881EDC" w:rsidP="00881EDC">
      <w:r>
        <w:separator/>
      </w:r>
    </w:p>
  </w:endnote>
  <w:endnote w:type="continuationSeparator" w:id="0">
    <w:p w:rsidR="00881EDC" w:rsidRDefault="00881EDC" w:rsidP="0088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EDC" w:rsidRDefault="00881EDC" w:rsidP="00881EDC">
      <w:r>
        <w:separator/>
      </w:r>
    </w:p>
  </w:footnote>
  <w:footnote w:type="continuationSeparator" w:id="0">
    <w:p w:rsidR="00881EDC" w:rsidRDefault="00881EDC" w:rsidP="00881EDC">
      <w:r>
        <w:continuationSeparator/>
      </w:r>
    </w:p>
  </w:footnote>
  <w:footnote w:id="1">
    <w:p w:rsidR="00881EDC" w:rsidRDefault="00881EDC" w:rsidP="00881EDC">
      <w:pPr>
        <w:spacing w:after="240"/>
        <w:jc w:val="both"/>
        <w:rPr>
          <w:sz w:val="24"/>
          <w:szCs w:val="24"/>
        </w:rPr>
      </w:pPr>
      <w:r>
        <w:t xml:space="preserve">     </w:t>
      </w:r>
      <w:r>
        <w:rPr>
          <w:sz w:val="24"/>
          <w:szCs w:val="24"/>
          <w:vertAlign w:val="superscript"/>
        </w:rPr>
        <w:t>1</w:t>
      </w:r>
      <w:r>
        <w:rPr>
          <w:sz w:val="24"/>
          <w:szCs w:val="24"/>
        </w:rPr>
        <w:t xml:space="preserve">Any Amended Complaint must comply with Fed. </w:t>
      </w:r>
      <w:proofErr w:type="gramStart"/>
      <w:r>
        <w:rPr>
          <w:sz w:val="24"/>
          <w:szCs w:val="24"/>
        </w:rPr>
        <w:t>R. Civ. P. 8(a), 10(b) and 11(b).</w:t>
      </w:r>
      <w:proofErr w:type="gramEnd"/>
    </w:p>
  </w:footnote>
  <w:footnote w:id="2">
    <w:p w:rsidR="00881EDC" w:rsidRDefault="00881EDC" w:rsidP="00881EDC">
      <w:pPr>
        <w:spacing w:after="240"/>
        <w:jc w:val="both"/>
        <w:rPr>
          <w:sz w:val="24"/>
          <w:szCs w:val="24"/>
        </w:rPr>
      </w:pPr>
      <w:r>
        <w:t xml:space="preserve">     </w:t>
      </w:r>
      <w:r>
        <w:rPr>
          <w:sz w:val="24"/>
          <w:szCs w:val="24"/>
          <w:vertAlign w:val="superscript"/>
        </w:rPr>
        <w:t>2</w:t>
      </w:r>
      <w:r>
        <w:rPr>
          <w:sz w:val="24"/>
          <w:szCs w:val="24"/>
        </w:rPr>
        <w:t>Unless specifically agreed by the parties or allowed by the court for good cause shown, the parties shall be precluded from offering substantive evidence through any witness not so listed. The listing of a witness does not commit the listing party to have such witness available at trial or to call such witness to testify, but does preclude the listing party from objecting to the presentation of such witness’ testimony by another party.</w:t>
      </w:r>
    </w:p>
  </w:footnote>
  <w:footnote w:id="3">
    <w:p w:rsidR="00881EDC" w:rsidRDefault="00881EDC" w:rsidP="00881EDC">
      <w:pPr>
        <w:spacing w:after="240"/>
        <w:jc w:val="both"/>
        <w:rPr>
          <w:sz w:val="24"/>
          <w:szCs w:val="24"/>
        </w:rPr>
      </w:pPr>
      <w:r>
        <w:t xml:space="preserve">     </w:t>
      </w:r>
      <w:r>
        <w:rPr>
          <w:sz w:val="24"/>
          <w:szCs w:val="24"/>
          <w:vertAlign w:val="superscript"/>
        </w:rPr>
        <w:t>3</w:t>
      </w:r>
      <w:r>
        <w:rPr>
          <w:sz w:val="24"/>
          <w:szCs w:val="24"/>
        </w:rPr>
        <w:t>The order does not set a date certain for mediation.  Rather, the parties are ordered to complete mediation by the date provided within the order referring this case to mediation.</w:t>
      </w:r>
    </w:p>
  </w:footnote>
  <w:footnote w:id="4">
    <w:p w:rsidR="00881EDC" w:rsidRDefault="00881EDC" w:rsidP="00881EDC">
      <w:pPr>
        <w:spacing w:after="240"/>
        <w:jc w:val="both"/>
        <w:rPr>
          <w:sz w:val="24"/>
          <w:szCs w:val="24"/>
        </w:rPr>
      </w:pPr>
      <w:r>
        <w:t xml:space="preserve">     </w:t>
      </w:r>
      <w:r>
        <w:rPr>
          <w:sz w:val="24"/>
          <w:szCs w:val="24"/>
          <w:vertAlign w:val="superscript"/>
        </w:rPr>
        <w:t>4</w:t>
      </w:r>
      <w:r>
        <w:rPr>
          <w:sz w:val="24"/>
          <w:szCs w:val="24"/>
        </w:rPr>
        <w:t xml:space="preserve">Although the Northern District of Alabama’s ADR Plan provides for a stay of proceedings during mediation (ADR Plan IV.B.4.), this court does not stay the proceedings for mediation.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4154C"/>
    <w:multiLevelType w:val="multilevel"/>
    <w:tmpl w:val="58F2AFF4"/>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EDC"/>
    <w:rsid w:val="00881EDC"/>
    <w:rsid w:val="00CA7F18"/>
    <w:rsid w:val="00D47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EDC"/>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881EDC"/>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EDC"/>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881EDC"/>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ALND</Company>
  <LinksUpToDate>false</LinksUpToDate>
  <CharactersWithSpaces>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2014-05-27T20:56:00Z</dcterms:created>
  <dcterms:modified xsi:type="dcterms:W3CDTF">2014-05-27T20:57:00Z</dcterms:modified>
</cp:coreProperties>
</file>