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58" w:rsidRDefault="001A0A58">
      <w:pPr>
        <w:widowControl/>
        <w:tabs>
          <w:tab w:val="center" w:pos="4680"/>
        </w:tabs>
        <w:spacing w:line="239" w:lineRule="auto"/>
        <w:jc w:val="both"/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>UNITED STATES DISTRICT COURT</w:t>
      </w:r>
    </w:p>
    <w:p w:rsidR="001A0A58" w:rsidRDefault="001A0A58">
      <w:pPr>
        <w:widowControl/>
        <w:tabs>
          <w:tab w:val="center" w:pos="4680"/>
        </w:tabs>
        <w:spacing w:line="239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  <w:t>NORTHERN DISTRICT OF ALABAMA</w:t>
      </w:r>
    </w:p>
    <w:p w:rsidR="001A0A58" w:rsidRDefault="001A0A58">
      <w:pPr>
        <w:widowControl/>
        <w:tabs>
          <w:tab w:val="center" w:pos="4680"/>
        </w:tabs>
        <w:spacing w:line="239" w:lineRule="auto"/>
        <w:jc w:val="both"/>
        <w:rPr>
          <w:color w:val="000000"/>
          <w:sz w:val="28"/>
          <w:szCs w:val="28"/>
        </w:rPr>
      </w:pPr>
      <w:r>
        <w:rPr>
          <w:sz w:val="30"/>
          <w:szCs w:val="30"/>
        </w:rPr>
        <w:tab/>
      </w:r>
      <w:r>
        <w:rPr>
          <w:color w:val="808080"/>
          <w:sz w:val="30"/>
          <w:szCs w:val="30"/>
        </w:rPr>
        <w:t>Choose an item.</w:t>
      </w:r>
      <w:r>
        <w:rPr>
          <w:color w:val="000000"/>
          <w:sz w:val="30"/>
          <w:szCs w:val="30"/>
        </w:rPr>
        <w:t xml:space="preserve"> DIVISION</w:t>
      </w:r>
    </w:p>
    <w:p w:rsidR="001A0A58" w:rsidRDefault="001A0A58">
      <w:pPr>
        <w:widowControl/>
        <w:spacing w:line="239" w:lineRule="auto"/>
        <w:jc w:val="both"/>
        <w:rPr>
          <w:color w:val="000000"/>
          <w:sz w:val="28"/>
          <w:szCs w:val="28"/>
        </w:rPr>
      </w:pPr>
    </w:p>
    <w:p w:rsidR="001A0A58" w:rsidRDefault="001A0A58">
      <w:pPr>
        <w:widowControl/>
        <w:spacing w:line="239" w:lineRule="auto"/>
        <w:jc w:val="both"/>
        <w:rPr>
          <w:color w:val="000000"/>
          <w:sz w:val="28"/>
          <w:szCs w:val="28"/>
        </w:rPr>
      </w:pPr>
    </w:p>
    <w:p w:rsidR="001A0A58" w:rsidRDefault="001A0A58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239" w:lineRule="auto"/>
        <w:ind w:left="4320" w:hanging="4320"/>
        <w:jc w:val="both"/>
        <w:rPr>
          <w:color w:val="000000"/>
          <w:sz w:val="28"/>
          <w:szCs w:val="28"/>
        </w:rPr>
      </w:pPr>
      <w:r>
        <w:rPr>
          <w:color w:val="808080"/>
          <w:sz w:val="28"/>
          <w:szCs w:val="28"/>
        </w:rPr>
        <w:t>Plaintiff(s)</w:t>
      </w:r>
      <w:proofErr w:type="gramStart"/>
      <w:r>
        <w:rPr>
          <w:color w:val="80808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)</w:t>
      </w:r>
    </w:p>
    <w:p w:rsidR="001A0A58" w:rsidRDefault="001A0A58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239" w:lineRule="auto"/>
        <w:ind w:firstLine="4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</w:p>
    <w:p w:rsidR="001A0A58" w:rsidRDefault="001A0A58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239" w:lineRule="auto"/>
        <w:ind w:left="4320" w:hanging="28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Plaintiff(s)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)</w:t>
      </w:r>
    </w:p>
    <w:p w:rsidR="001A0A58" w:rsidRDefault="001A0A58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239" w:lineRule="auto"/>
        <w:ind w:firstLine="4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</w:p>
    <w:p w:rsidR="001A0A58" w:rsidRDefault="001A0A58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239" w:lineRule="auto"/>
        <w:ind w:left="5040" w:hanging="43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vs</w:t>
      </w:r>
      <w:proofErr w:type="gram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)</w:t>
      </w:r>
      <w:r>
        <w:rPr>
          <w:color w:val="000000"/>
          <w:sz w:val="28"/>
          <w:szCs w:val="28"/>
        </w:rPr>
        <w:tab/>
        <w:t xml:space="preserve">Case No.  </w:t>
      </w:r>
      <w:proofErr w:type="gramStart"/>
      <w:r>
        <w:rPr>
          <w:color w:val="808080"/>
          <w:sz w:val="28"/>
          <w:szCs w:val="28"/>
        </w:rPr>
        <w:t>Case Number.</w:t>
      </w:r>
      <w:proofErr w:type="gramEnd"/>
    </w:p>
    <w:p w:rsidR="001A0A58" w:rsidRDefault="001A0A58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239" w:lineRule="auto"/>
        <w:ind w:firstLine="4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</w:p>
    <w:p w:rsidR="001A0A58" w:rsidRDefault="001A0A58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239" w:lineRule="auto"/>
        <w:ind w:left="4320" w:hanging="4320"/>
        <w:jc w:val="both"/>
        <w:rPr>
          <w:color w:val="000000"/>
          <w:sz w:val="28"/>
          <w:szCs w:val="28"/>
        </w:rPr>
      </w:pPr>
      <w:r>
        <w:rPr>
          <w:color w:val="808080"/>
          <w:sz w:val="28"/>
          <w:szCs w:val="28"/>
        </w:rPr>
        <w:t>Defendant(s)</w:t>
      </w:r>
      <w:proofErr w:type="gramStart"/>
      <w:r>
        <w:rPr>
          <w:color w:val="808080"/>
          <w:sz w:val="28"/>
          <w:szCs w:val="28"/>
        </w:rPr>
        <w:t>.,</w:t>
      </w:r>
      <w:proofErr w:type="gram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)</w:t>
      </w:r>
    </w:p>
    <w:p w:rsidR="001A0A58" w:rsidRDefault="001A0A58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239" w:lineRule="auto"/>
        <w:ind w:firstLine="43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</w:p>
    <w:p w:rsidR="001A0A58" w:rsidRDefault="001A0A58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239" w:lineRule="auto"/>
        <w:ind w:left="4320" w:hanging="28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Defendant(s)</w:t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)</w:t>
      </w:r>
    </w:p>
    <w:p w:rsidR="001A0A58" w:rsidRDefault="001A0A58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239" w:lineRule="auto"/>
        <w:jc w:val="both"/>
        <w:rPr>
          <w:color w:val="000000"/>
          <w:sz w:val="28"/>
          <w:szCs w:val="28"/>
        </w:rPr>
      </w:pPr>
    </w:p>
    <w:p w:rsidR="001A0A58" w:rsidRDefault="001A0A58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239" w:lineRule="auto"/>
        <w:jc w:val="both"/>
        <w:rPr>
          <w:color w:val="000000"/>
          <w:sz w:val="28"/>
          <w:szCs w:val="28"/>
        </w:rPr>
      </w:pPr>
    </w:p>
    <w:p w:rsidR="001A0A58" w:rsidRDefault="001A0A58">
      <w:pPr>
        <w:widowControl/>
        <w:tabs>
          <w:tab w:val="center" w:pos="4680"/>
          <w:tab w:val="left" w:pos="5040"/>
          <w:tab w:val="left" w:pos="5400"/>
        </w:tabs>
        <w:spacing w:line="239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ORDER REGARDING</w:t>
      </w:r>
    </w:p>
    <w:p w:rsidR="001A0A58" w:rsidRDefault="001A0A58">
      <w:pPr>
        <w:widowControl/>
        <w:tabs>
          <w:tab w:val="center" w:pos="4680"/>
          <w:tab w:val="left" w:pos="5040"/>
          <w:tab w:val="left" w:pos="5400"/>
        </w:tabs>
        <w:spacing w:line="239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COMPLIANCE WITH RULE 26 </w:t>
      </w:r>
    </w:p>
    <w:p w:rsidR="001A0A58" w:rsidRDefault="001A0A58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239" w:lineRule="auto"/>
        <w:jc w:val="both"/>
        <w:rPr>
          <w:color w:val="000000"/>
          <w:sz w:val="28"/>
          <w:szCs w:val="28"/>
        </w:rPr>
      </w:pPr>
    </w:p>
    <w:p w:rsidR="001A0A58" w:rsidRDefault="001A0A58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The parties are reminded to conduct a conference pursuant to Rule 26(f) of the </w:t>
      </w:r>
      <w:r>
        <w:rPr>
          <w:i/>
          <w:iCs/>
          <w:color w:val="000000"/>
          <w:sz w:val="28"/>
          <w:szCs w:val="28"/>
        </w:rPr>
        <w:t>Federal Rules of Civil Procedure</w:t>
      </w:r>
      <w:r>
        <w:rPr>
          <w:color w:val="000000"/>
          <w:sz w:val="28"/>
          <w:szCs w:val="28"/>
        </w:rPr>
        <w:t>.  The parties must confer no later than twenty</w:t>
      </w:r>
      <w:r>
        <w:rPr>
          <w:color w:val="000000"/>
          <w:sz w:val="28"/>
          <w:szCs w:val="28"/>
        </w:rPr>
        <w:noBreakHyphen/>
        <w:t xml:space="preserve">one (21) days after the entry date of this order.  During the Rule 26(f) conference, the </w:t>
      </w:r>
      <w:proofErr w:type="gramStart"/>
      <w:r>
        <w:rPr>
          <w:color w:val="000000"/>
          <w:sz w:val="28"/>
          <w:szCs w:val="28"/>
        </w:rPr>
        <w:t>parties</w:t>
      </w:r>
      <w:proofErr w:type="gramEnd"/>
      <w:r>
        <w:rPr>
          <w:color w:val="000000"/>
          <w:sz w:val="28"/>
          <w:szCs w:val="28"/>
        </w:rPr>
        <w:sym w:font="WP TypographicSymbols" w:char="003D"/>
      </w:r>
      <w:r>
        <w:rPr>
          <w:color w:val="000000"/>
          <w:sz w:val="28"/>
          <w:szCs w:val="28"/>
        </w:rPr>
        <w:t xml:space="preserve"> discussions shall cover the following topics:</w:t>
      </w:r>
    </w:p>
    <w:p w:rsidR="001A0A58" w:rsidRDefault="001A0A58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ind w:left="1440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P TypographicSymbols" w:char="0024"/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the</w:t>
      </w:r>
      <w:proofErr w:type="gramEnd"/>
      <w:r>
        <w:rPr>
          <w:color w:val="000000"/>
          <w:sz w:val="28"/>
          <w:szCs w:val="28"/>
        </w:rPr>
        <w:t xml:space="preserve"> nature and basis of the claims and defenses and the possibility of a prompt settlement or resolution of the case through formal mediation or informal settlement negotiations;   </w:t>
      </w:r>
    </w:p>
    <w:p w:rsidR="001A0A58" w:rsidRDefault="001A0A58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ind w:left="1440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P TypographicSymbols" w:char="0024"/>
      </w:r>
      <w:r>
        <w:rPr>
          <w:color w:val="000000"/>
          <w:sz w:val="28"/>
          <w:szCs w:val="28"/>
        </w:rPr>
        <w:tab/>
        <w:t>a proposed discovery plan, including deadlines for the matters addressed in sub</w:t>
      </w:r>
      <w:r>
        <w:rPr>
          <w:color w:val="000000"/>
          <w:sz w:val="28"/>
          <w:szCs w:val="28"/>
        </w:rPr>
        <w:noBreakHyphen/>
        <w:t>paragraphs (1) through (4) of Rule 26(f) and a protocol to govern the search and production of electronically stored information; and</w:t>
      </w:r>
    </w:p>
    <w:p w:rsidR="001A0A58" w:rsidRDefault="001A0A58" w:rsidP="0060757E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ind w:left="1440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P TypographicSymbols" w:char="0024"/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the</w:t>
      </w:r>
      <w:proofErr w:type="gramEnd"/>
      <w:r>
        <w:rPr>
          <w:color w:val="000000"/>
          <w:sz w:val="28"/>
          <w:szCs w:val="28"/>
        </w:rPr>
        <w:t xml:space="preserve"> need for a protective order for disclosure of </w:t>
      </w:r>
      <w:r>
        <w:rPr>
          <w:color w:val="000000"/>
          <w:sz w:val="28"/>
          <w:szCs w:val="28"/>
        </w:rPr>
        <w:sym w:font="WP TypographicSymbols" w:char="0041"/>
      </w:r>
      <w:r>
        <w:rPr>
          <w:color w:val="000000"/>
          <w:sz w:val="28"/>
          <w:szCs w:val="28"/>
        </w:rPr>
        <w:t xml:space="preserve">protected health </w:t>
      </w:r>
      <w:r w:rsidR="0060757E"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nformation.</w:t>
      </w:r>
      <w:r>
        <w:rPr>
          <w:color w:val="000000"/>
          <w:sz w:val="28"/>
          <w:szCs w:val="28"/>
        </w:rPr>
        <w:sym w:font="WP TypographicSymbols" w:char="0040"/>
      </w:r>
      <w:r>
        <w:rPr>
          <w:rStyle w:val="FootnoteReference"/>
          <w:color w:val="000000"/>
          <w:sz w:val="28"/>
          <w:szCs w:val="28"/>
          <w:vertAlign w:val="superscript"/>
        </w:rPr>
        <w:footnoteReference w:id="1"/>
      </w:r>
      <w:r>
        <w:rPr>
          <w:color w:val="000000"/>
          <w:sz w:val="28"/>
          <w:szCs w:val="28"/>
        </w:rPr>
        <w:t xml:space="preserve"> </w:t>
      </w:r>
    </w:p>
    <w:p w:rsidR="001A0A58" w:rsidRDefault="001A0A58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If the parties are unable to agree upon a date, time, or place for the Rule 26(f) conference, the parties are </w:t>
      </w:r>
      <w:r>
        <w:rPr>
          <w:b/>
          <w:bCs/>
          <w:color w:val="000000"/>
          <w:sz w:val="28"/>
          <w:szCs w:val="28"/>
        </w:rPr>
        <w:t>ORDERED</w:t>
      </w:r>
      <w:r>
        <w:rPr>
          <w:color w:val="000000"/>
          <w:sz w:val="28"/>
          <w:szCs w:val="28"/>
        </w:rPr>
        <w:t xml:space="preserve"> to file a joint notice with the court.  </w:t>
      </w:r>
    </w:p>
    <w:p w:rsidR="001A0A58" w:rsidRDefault="001A0A58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Additionally, unless otherwise ordered, the parties shall exchange the initial disclosures required under Rule 26(a</w:t>
      </w:r>
      <w:proofErr w:type="gramStart"/>
      <w:r>
        <w:rPr>
          <w:color w:val="000000"/>
          <w:sz w:val="28"/>
          <w:szCs w:val="28"/>
        </w:rPr>
        <w:t>)(</w:t>
      </w:r>
      <w:proofErr w:type="gramEnd"/>
      <w:r>
        <w:rPr>
          <w:color w:val="000000"/>
          <w:sz w:val="28"/>
          <w:szCs w:val="28"/>
        </w:rPr>
        <w:t xml:space="preserve">1) at least seven (7) days before the meeting in order to facilitate better discussions during the discovery conference.  </w:t>
      </w:r>
      <w:r>
        <w:rPr>
          <w:b/>
          <w:bCs/>
          <w:color w:val="000000"/>
          <w:sz w:val="28"/>
          <w:szCs w:val="28"/>
        </w:rPr>
        <w:t xml:space="preserve">Within fourteen (14) days of the Rule 26(f) meeting, the parties must file a joint report of their planning meeting. </w:t>
      </w:r>
      <w:r>
        <w:rPr>
          <w:color w:val="000000"/>
          <w:sz w:val="28"/>
          <w:szCs w:val="28"/>
        </w:rPr>
        <w:t xml:space="preserve"> The report should include a brief description of the nature of the case; an indication of the parties</w:t>
      </w:r>
      <w:r>
        <w:rPr>
          <w:color w:val="000000"/>
          <w:sz w:val="28"/>
          <w:szCs w:val="28"/>
        </w:rPr>
        <w:sym w:font="WP TypographicSymbols" w:char="003D"/>
      </w:r>
      <w:r>
        <w:rPr>
          <w:color w:val="000000"/>
          <w:sz w:val="28"/>
          <w:szCs w:val="28"/>
        </w:rPr>
        <w:t xml:space="preserve"> assessment of the complexity of the case; proposed deadlines for amending the pleadings, joining additional parties, discovery, and dispositive motions; and a statement regarding the parties</w:t>
      </w:r>
      <w:r>
        <w:rPr>
          <w:color w:val="000000"/>
          <w:sz w:val="28"/>
          <w:szCs w:val="28"/>
        </w:rPr>
        <w:sym w:font="WP TypographicSymbols" w:char="003D"/>
      </w:r>
      <w:r>
        <w:rPr>
          <w:color w:val="000000"/>
          <w:sz w:val="28"/>
          <w:szCs w:val="28"/>
        </w:rPr>
        <w:t xml:space="preserve"> initial interest in alternative dispute resolution.  Should the parties disagree about an item, the positions of the parties as to that item should be clearly set forth in separate paragraphs. </w:t>
      </w:r>
    </w:p>
    <w:p w:rsidR="0060757E" w:rsidRDefault="001A0A58" w:rsidP="0060757E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DONE and ORDERED this __ day of ________, 20__.</w:t>
      </w:r>
    </w:p>
    <w:p w:rsidR="0060757E" w:rsidRDefault="0060757E" w:rsidP="0060757E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480" w:lineRule="auto"/>
        <w:ind w:firstLine="72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60757E" w:rsidRPr="00CF6C65" w:rsidRDefault="0060757E" w:rsidP="00CF6C65">
      <w:pPr>
        <w:ind w:left="504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9AA4AE" wp14:editId="6DAC90A2">
            <wp:simplePos x="0" y="0"/>
            <wp:positionH relativeFrom="column">
              <wp:posOffset>3387090</wp:posOffset>
            </wp:positionH>
            <wp:positionV relativeFrom="paragraph">
              <wp:posOffset>-342900</wp:posOffset>
            </wp:positionV>
            <wp:extent cx="1533732" cy="6722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NJ Signatur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732" cy="672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____________________________________</w:t>
      </w:r>
      <w:r>
        <w:br/>
      </w:r>
      <w:r w:rsidRPr="00CF6C65">
        <w:t>HERMAN N. JOHNSON, JR</w:t>
      </w:r>
      <w:proofErr w:type="gramStart"/>
      <w:r w:rsidRPr="00CF6C65">
        <w:t>.</w:t>
      </w:r>
      <w:proofErr w:type="gramEnd"/>
      <w:r>
        <w:br/>
      </w:r>
      <w:r w:rsidRPr="00CF6C65">
        <w:t>UNITED STATES MAGISTRATE JUDGE</w:t>
      </w:r>
    </w:p>
    <w:p w:rsidR="001A0A58" w:rsidRDefault="001A0A58" w:rsidP="0060757E">
      <w:pPr>
        <w:widowControl/>
        <w:tabs>
          <w:tab w:val="left" w:pos="-109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400"/>
        </w:tabs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sectPr w:rsidR="001A0A58" w:rsidSect="001A0A58">
      <w:footerReference w:type="default" r:id="rId8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58" w:rsidRDefault="001A0A58" w:rsidP="001A0A58">
      <w:r>
        <w:separator/>
      </w:r>
    </w:p>
  </w:endnote>
  <w:endnote w:type="continuationSeparator" w:id="0">
    <w:p w:rsidR="001A0A58" w:rsidRDefault="001A0A58" w:rsidP="001A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58" w:rsidRDefault="001A0A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58" w:rsidRDefault="001A0A58" w:rsidP="001A0A58">
      <w:r>
        <w:separator/>
      </w:r>
    </w:p>
  </w:footnote>
  <w:footnote w:type="continuationSeparator" w:id="0">
    <w:p w:rsidR="001A0A58" w:rsidRDefault="001A0A58" w:rsidP="001A0A58">
      <w:r>
        <w:continuationSeparator/>
      </w:r>
    </w:p>
  </w:footnote>
  <w:footnote w:id="1">
    <w:p w:rsidR="001A0A58" w:rsidRDefault="001A0A58">
      <w:pPr>
        <w:spacing w:after="240" w:line="239" w:lineRule="auto"/>
        <w:ind w:firstLine="720"/>
        <w:jc w:val="both"/>
      </w:pPr>
      <w:r>
        <w:rPr>
          <w:rStyle w:val="FootnoteReference"/>
          <w:vertAlign w:val="superscript"/>
        </w:rPr>
        <w:footnoteRef/>
      </w:r>
      <w:r>
        <w:t xml:space="preserve"> If the </w:t>
      </w:r>
      <w:proofErr w:type="spellStart"/>
      <w:r>
        <w:t>court</w:t>
      </w:r>
      <w:r>
        <w:sym w:font="WP TypographicSymbols" w:char="003D"/>
      </w:r>
      <w:r>
        <w:t>s</w:t>
      </w:r>
      <w:proofErr w:type="spellEnd"/>
      <w:r>
        <w:t xml:space="preserve"> standard HIPAA protective order is required, the parties may indicate this in their joint report of planning meeting.  If the parties require a HIPAA order tailored to the case, the moving party should email a proposed draft order to the chambers</w:t>
      </w:r>
      <w:r>
        <w:sym w:font="WP TypographicSymbols" w:char="003D"/>
      </w:r>
      <w:r>
        <w:t xml:space="preserve"> email address upon the filing of a motion.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58"/>
    <w:rsid w:val="001A0A58"/>
    <w:rsid w:val="003330F8"/>
    <w:rsid w:val="0060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ALND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2017-07-31T17:53:00Z</dcterms:created>
  <dcterms:modified xsi:type="dcterms:W3CDTF">2017-07-31T17:54:00Z</dcterms:modified>
</cp:coreProperties>
</file>