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0B02D5" w14:textId="77777777" w:rsidR="00C84DD9" w:rsidRPr="00FC3224" w:rsidRDefault="00C84DD9">
      <w:pPr>
        <w:widowControl w:val="0"/>
        <w:rPr>
          <w:sz w:val="28"/>
          <w:szCs w:val="28"/>
        </w:rPr>
      </w:pPr>
      <w:r w:rsidRPr="00FC3224">
        <w:rPr>
          <w:sz w:val="28"/>
          <w:szCs w:val="28"/>
        </w:rPr>
        <w:fldChar w:fldCharType="begin"/>
      </w:r>
      <w:r w:rsidRPr="00FC3224">
        <w:rPr>
          <w:sz w:val="28"/>
          <w:szCs w:val="28"/>
        </w:rPr>
        <w:instrText xml:space="preserve"> SEQ CHAPTER \h \r 1</w:instrText>
      </w:r>
      <w:r w:rsidRPr="00FC3224">
        <w:rPr>
          <w:sz w:val="28"/>
          <w:szCs w:val="28"/>
        </w:rPr>
        <w:fldChar w:fldCharType="end"/>
      </w:r>
      <w:r w:rsidRPr="00FC3224">
        <w:rPr>
          <w:sz w:val="28"/>
          <w:szCs w:val="28"/>
        </w:rPr>
        <w:t>Pro Hac Vice Admissions:</w:t>
      </w:r>
    </w:p>
    <w:p w14:paraId="04786034" w14:textId="77777777" w:rsidR="00C84DD9" w:rsidRPr="00FC3224" w:rsidRDefault="00C84DD9">
      <w:pPr>
        <w:widowControl w:val="0"/>
        <w:rPr>
          <w:sz w:val="28"/>
          <w:szCs w:val="28"/>
        </w:rPr>
      </w:pPr>
    </w:p>
    <w:p w14:paraId="190F4E8F" w14:textId="77777777" w:rsidR="00C84DD9" w:rsidRPr="00FC3224" w:rsidRDefault="00C84DD9">
      <w:pPr>
        <w:widowControl w:val="0"/>
        <w:rPr>
          <w:sz w:val="28"/>
          <w:szCs w:val="28"/>
        </w:rPr>
      </w:pPr>
    </w:p>
    <w:p w14:paraId="35A9C3C0" w14:textId="0D3B8F18" w:rsidR="00C84DD9" w:rsidRPr="00FC3224" w:rsidRDefault="00C84DD9">
      <w:pPr>
        <w:widowControl w:val="0"/>
        <w:jc w:val="both"/>
        <w:rPr>
          <w:sz w:val="28"/>
          <w:szCs w:val="28"/>
        </w:rPr>
      </w:pPr>
      <w:r w:rsidRPr="00FC3224">
        <w:rPr>
          <w:sz w:val="28"/>
          <w:szCs w:val="28"/>
        </w:rPr>
        <w:tab/>
        <w:t xml:space="preserve">Under Local Rule 83.1(b), an application for admission </w:t>
      </w:r>
      <w:r w:rsidRPr="00FC3224">
        <w:rPr>
          <w:i/>
          <w:sz w:val="28"/>
          <w:szCs w:val="28"/>
        </w:rPr>
        <w:t xml:space="preserve">pro hac vice </w:t>
      </w:r>
      <w:r w:rsidRPr="00FC3224">
        <w:rPr>
          <w:sz w:val="28"/>
          <w:szCs w:val="28"/>
        </w:rPr>
        <w:t>must include the</w:t>
      </w:r>
      <w:r w:rsidR="00B178C2">
        <w:rPr>
          <w:sz w:val="28"/>
          <w:szCs w:val="28"/>
        </w:rPr>
        <w:t xml:space="preserve"> </w:t>
      </w:r>
      <w:r w:rsidRPr="00FC3224">
        <w:rPr>
          <w:sz w:val="28"/>
          <w:szCs w:val="28"/>
        </w:rPr>
        <w:t>following information:</w:t>
      </w:r>
    </w:p>
    <w:p w14:paraId="4CC768CD" w14:textId="77777777" w:rsidR="00C84DD9" w:rsidRPr="00FC3224" w:rsidRDefault="00C84DD9">
      <w:pPr>
        <w:widowControl w:val="0"/>
        <w:jc w:val="both"/>
        <w:rPr>
          <w:sz w:val="28"/>
          <w:szCs w:val="28"/>
        </w:rPr>
      </w:pPr>
    </w:p>
    <w:p w14:paraId="190C6853" w14:textId="77777777" w:rsidR="00C84DD9" w:rsidRPr="00FC3224" w:rsidRDefault="00C84DD9">
      <w:pPr>
        <w:widowControl w:val="0"/>
        <w:ind w:left="1440" w:hanging="1440"/>
        <w:jc w:val="both"/>
        <w:rPr>
          <w:sz w:val="28"/>
          <w:szCs w:val="28"/>
        </w:rPr>
      </w:pPr>
      <w:r w:rsidRPr="00FC3224">
        <w:rPr>
          <w:sz w:val="28"/>
          <w:szCs w:val="28"/>
        </w:rPr>
        <w:tab/>
        <w:t>1.</w:t>
      </w:r>
      <w:r w:rsidRPr="00FC3224">
        <w:rPr>
          <w:sz w:val="28"/>
          <w:szCs w:val="28"/>
        </w:rPr>
        <w:tab/>
        <w:t>The applicant’s residence address;</w:t>
      </w:r>
    </w:p>
    <w:p w14:paraId="0C0B088E" w14:textId="77777777" w:rsidR="00C84DD9" w:rsidRPr="00FC3224" w:rsidRDefault="00C84DD9">
      <w:pPr>
        <w:widowControl w:val="0"/>
        <w:ind w:left="1440" w:hanging="1440"/>
        <w:jc w:val="both"/>
        <w:rPr>
          <w:sz w:val="28"/>
          <w:szCs w:val="28"/>
        </w:rPr>
      </w:pPr>
      <w:r w:rsidRPr="00FC3224">
        <w:rPr>
          <w:sz w:val="28"/>
          <w:szCs w:val="28"/>
        </w:rPr>
        <w:tab/>
        <w:t>2.</w:t>
      </w:r>
      <w:r w:rsidRPr="00FC3224">
        <w:rPr>
          <w:sz w:val="28"/>
          <w:szCs w:val="28"/>
        </w:rPr>
        <w:tab/>
        <w:t>The applicant’s office address, telephone number, facsimile number, and e-mail address;</w:t>
      </w:r>
    </w:p>
    <w:p w14:paraId="1E53DF3E" w14:textId="77777777" w:rsidR="00C84DD9" w:rsidRPr="00FC3224" w:rsidRDefault="00C84DD9">
      <w:pPr>
        <w:widowControl w:val="0"/>
        <w:ind w:left="1440" w:hanging="1440"/>
        <w:jc w:val="both"/>
        <w:rPr>
          <w:sz w:val="28"/>
          <w:szCs w:val="28"/>
        </w:rPr>
      </w:pPr>
      <w:r w:rsidRPr="00FC3224">
        <w:rPr>
          <w:sz w:val="28"/>
          <w:szCs w:val="28"/>
        </w:rPr>
        <w:tab/>
        <w:t>3.</w:t>
      </w:r>
      <w:r w:rsidRPr="00FC3224">
        <w:rPr>
          <w:sz w:val="28"/>
          <w:szCs w:val="28"/>
        </w:rPr>
        <w:tab/>
        <w:t>The courts to which the applicant is admitted to practice and the dates of admission;</w:t>
      </w:r>
      <w:r w:rsidRPr="00FC3224">
        <w:rPr>
          <w:rStyle w:val="FootnoteReference"/>
          <w:sz w:val="28"/>
          <w:szCs w:val="28"/>
        </w:rPr>
        <w:footnoteReference w:id="1"/>
      </w:r>
    </w:p>
    <w:p w14:paraId="12A81515" w14:textId="77777777" w:rsidR="00C84DD9" w:rsidRPr="00FC3224" w:rsidRDefault="00C84DD9">
      <w:pPr>
        <w:widowControl w:val="0"/>
        <w:ind w:left="1440" w:hanging="1440"/>
        <w:jc w:val="both"/>
        <w:rPr>
          <w:sz w:val="28"/>
          <w:szCs w:val="28"/>
        </w:rPr>
      </w:pPr>
      <w:r w:rsidRPr="00FC3224">
        <w:rPr>
          <w:sz w:val="28"/>
          <w:szCs w:val="28"/>
        </w:rPr>
        <w:tab/>
        <w:t>4.</w:t>
      </w:r>
      <w:r w:rsidRPr="00FC3224">
        <w:rPr>
          <w:sz w:val="28"/>
          <w:szCs w:val="28"/>
        </w:rPr>
        <w:tab/>
        <w:t>A statement that the applicant is in good standing and eligible to practice in all courts to which admitted; and</w:t>
      </w:r>
    </w:p>
    <w:p w14:paraId="553D8C03" w14:textId="77777777" w:rsidR="00C84DD9" w:rsidRPr="00FC3224" w:rsidRDefault="00C84DD9">
      <w:pPr>
        <w:widowControl w:val="0"/>
        <w:ind w:left="1440" w:hanging="1440"/>
        <w:jc w:val="both"/>
        <w:rPr>
          <w:sz w:val="28"/>
          <w:szCs w:val="28"/>
        </w:rPr>
      </w:pPr>
      <w:r w:rsidRPr="00FC3224">
        <w:rPr>
          <w:sz w:val="28"/>
          <w:szCs w:val="28"/>
        </w:rPr>
        <w:tab/>
        <w:t>5.</w:t>
      </w:r>
      <w:r w:rsidRPr="00FC3224">
        <w:rPr>
          <w:sz w:val="28"/>
          <w:szCs w:val="28"/>
        </w:rPr>
        <w:tab/>
        <w:t>The address, telephone number, facsimile number, and e-mailed address of local counsel, as well as local counsel’s written consent to designation.</w:t>
      </w:r>
      <w:r w:rsidRPr="00FC3224">
        <w:rPr>
          <w:rStyle w:val="FootnoteReference"/>
          <w:sz w:val="28"/>
          <w:szCs w:val="28"/>
        </w:rPr>
        <w:footnoteReference w:id="2"/>
      </w:r>
    </w:p>
    <w:p w14:paraId="35313093" w14:textId="77777777" w:rsidR="00C84DD9" w:rsidRPr="00FC3224" w:rsidRDefault="00C84DD9">
      <w:pPr>
        <w:widowControl w:val="0"/>
        <w:jc w:val="both"/>
        <w:rPr>
          <w:sz w:val="28"/>
          <w:szCs w:val="28"/>
        </w:rPr>
      </w:pPr>
    </w:p>
    <w:p w14:paraId="3B2136F1" w14:textId="77777777" w:rsidR="00C84DD9" w:rsidRPr="00FC3224" w:rsidRDefault="00C84DD9">
      <w:pPr>
        <w:widowControl w:val="0"/>
        <w:jc w:val="both"/>
        <w:rPr>
          <w:sz w:val="28"/>
          <w:szCs w:val="28"/>
        </w:rPr>
      </w:pPr>
      <w:r w:rsidRPr="00FC3224">
        <w:rPr>
          <w:sz w:val="28"/>
          <w:szCs w:val="28"/>
        </w:rPr>
        <w:t>The application must be accompanied by payment of the prescribed admission fee.  Local counsel must file a notice of appearance within ten days of the approval of the application.</w:t>
      </w:r>
    </w:p>
    <w:sectPr w:rsidR="00C84DD9" w:rsidRPr="00FC3224" w:rsidSect="00C84D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CED71D" w14:textId="77777777" w:rsidR="00C84DD9" w:rsidRDefault="00C84DD9">
      <w:r>
        <w:separator/>
      </w:r>
    </w:p>
  </w:endnote>
  <w:endnote w:type="continuationSeparator" w:id="0">
    <w:p w14:paraId="218C31B0" w14:textId="77777777" w:rsidR="00C84DD9" w:rsidRDefault="00C84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459698" w14:textId="77777777" w:rsidR="00C84DD9" w:rsidRDefault="00C84DD9">
      <w:r>
        <w:separator/>
      </w:r>
    </w:p>
  </w:footnote>
  <w:footnote w:type="continuationSeparator" w:id="0">
    <w:p w14:paraId="5DC44AA3" w14:textId="77777777" w:rsidR="00C84DD9" w:rsidRDefault="00C84DD9">
      <w:r>
        <w:continuationSeparator/>
      </w:r>
    </w:p>
  </w:footnote>
  <w:footnote w:id="1">
    <w:p w14:paraId="07E92E45" w14:textId="6B899135" w:rsidR="00C84DD9" w:rsidRPr="0093569D" w:rsidRDefault="00C84DD9">
      <w:pPr>
        <w:pStyle w:val="FootnoteText"/>
        <w:rPr>
          <w:sz w:val="28"/>
          <w:szCs w:val="28"/>
        </w:rPr>
      </w:pPr>
      <w:r w:rsidRPr="0093569D">
        <w:rPr>
          <w:sz w:val="28"/>
          <w:szCs w:val="28"/>
          <w:vertAlign w:val="superscript"/>
        </w:rPr>
        <w:footnoteRef/>
      </w:r>
      <w:r w:rsidRPr="0093569D">
        <w:rPr>
          <w:sz w:val="28"/>
          <w:szCs w:val="28"/>
        </w:rPr>
        <w:t xml:space="preserve"> An attorney who is not a member of the bar of this court is not eligible for admission </w:t>
      </w:r>
      <w:r w:rsidRPr="0093569D">
        <w:rPr>
          <w:i/>
          <w:sz w:val="28"/>
          <w:szCs w:val="28"/>
        </w:rPr>
        <w:t>pro hac vice</w:t>
      </w:r>
      <w:r w:rsidRPr="0093569D">
        <w:rPr>
          <w:sz w:val="28"/>
          <w:szCs w:val="28"/>
        </w:rPr>
        <w:t xml:space="preserve">, unless he or she is admitted to practice before the United States District Court for the district in which (or before the highest court in the state in which) he or she resides or regularly practices law.  </w:t>
      </w:r>
      <w:r w:rsidRPr="0093569D">
        <w:rPr>
          <w:i/>
          <w:sz w:val="28"/>
          <w:szCs w:val="28"/>
        </w:rPr>
        <w:t>See</w:t>
      </w:r>
      <w:r w:rsidRPr="0093569D">
        <w:rPr>
          <w:sz w:val="28"/>
          <w:szCs w:val="28"/>
        </w:rPr>
        <w:t xml:space="preserve"> Local Rule 83</w:t>
      </w:r>
      <w:r w:rsidR="00B178C2">
        <w:rPr>
          <w:sz w:val="28"/>
          <w:szCs w:val="28"/>
        </w:rPr>
        <w:t>.</w:t>
      </w:r>
      <w:r w:rsidRPr="0093569D">
        <w:rPr>
          <w:sz w:val="28"/>
          <w:szCs w:val="28"/>
        </w:rPr>
        <w:t>1(b)(1).</w:t>
      </w:r>
    </w:p>
    <w:p w14:paraId="65F5E4FF" w14:textId="77777777" w:rsidR="0093569D" w:rsidRPr="0093569D" w:rsidRDefault="0093569D">
      <w:pPr>
        <w:pStyle w:val="FootnoteText"/>
        <w:rPr>
          <w:sz w:val="28"/>
          <w:szCs w:val="28"/>
        </w:rPr>
      </w:pPr>
    </w:p>
  </w:footnote>
  <w:footnote w:id="2">
    <w:p w14:paraId="17A0B9E0" w14:textId="77777777" w:rsidR="00C84DD9" w:rsidRPr="00FC3224" w:rsidRDefault="00C84DD9">
      <w:pPr>
        <w:pStyle w:val="FootnoteText"/>
        <w:rPr>
          <w:sz w:val="24"/>
          <w:szCs w:val="24"/>
        </w:rPr>
      </w:pPr>
      <w:r w:rsidRPr="0093569D">
        <w:rPr>
          <w:sz w:val="28"/>
          <w:szCs w:val="28"/>
          <w:vertAlign w:val="superscript"/>
        </w:rPr>
        <w:footnoteRef/>
      </w:r>
      <w:r w:rsidRPr="0093569D">
        <w:rPr>
          <w:sz w:val="28"/>
          <w:szCs w:val="28"/>
        </w:rPr>
        <w:t xml:space="preserve"> The parties are directed to Local Rule 83.1(b)(2) for a description of the duties of local counsel.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84DD9"/>
    <w:rsid w:val="0089435E"/>
    <w:rsid w:val="0093569D"/>
    <w:rsid w:val="00B178C2"/>
    <w:rsid w:val="00C84DD9"/>
    <w:rsid w:val="00D61716"/>
    <w:rsid w:val="00FC3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C6B444"/>
  <w15:docId w15:val="{DC13C132-B698-4744-B148-CF9786C74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pPr>
      <w:widowControl w:val="0"/>
      <w:ind w:firstLine="720"/>
      <w:jc w:val="both"/>
    </w:pPr>
    <w:rPr>
      <w:sz w:val="20"/>
    </w:rPr>
  </w:style>
  <w:style w:type="character" w:customStyle="1" w:styleId="FootnoteTextChar">
    <w:name w:val="Footnote Text Char"/>
    <w:basedOn w:val="DefaultParagraphFont"/>
    <w:link w:val="FootnoteText"/>
    <w:uiPriority w:val="99"/>
    <w:semiHidden/>
    <w:rsid w:val="00C84DD9"/>
  </w:style>
  <w:style w:type="character" w:styleId="FootnoteReference">
    <w:name w:val="footnote reference"/>
    <w:basedOn w:val="DefaultParagraphFont"/>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Davis</dc:creator>
  <cp:keywords/>
  <cp:lastModifiedBy>Alexandra Davis</cp:lastModifiedBy>
  <cp:revision>3</cp:revision>
  <dcterms:created xsi:type="dcterms:W3CDTF">2021-09-01T21:42:00Z</dcterms:created>
  <dcterms:modified xsi:type="dcterms:W3CDTF">2021-09-01T22:08:00Z</dcterms:modified>
</cp:coreProperties>
</file>